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rFonts w:ascii="Arial Black" w:hAnsi="Arial Black"/>
          <w:sz w:val="124"/>
          <w:szCs w:val="124"/>
        </w:rPr>
      </w:pPr>
      <w:bookmarkStart w:id="0" w:name="_GoBack"/>
      <w:bookmarkEnd w:id="0"/>
      <w:r>
        <w:rPr>
          <w:rFonts w:ascii="Arial Black" w:hAnsi="Arial Black"/>
          <w:sz w:val="124"/>
          <w:szCs w:val="124"/>
        </w:rPr>
        <w:t>«УФ-365-10</w:t>
      </w:r>
      <w:r>
        <w:rPr>
          <w:rFonts w:ascii="Arial Black" w:hAnsi="Arial Black"/>
          <w:sz w:val="124"/>
          <w:szCs w:val="124"/>
          <w:lang w:val="en-US"/>
        </w:rPr>
        <w:t>W</w:t>
      </w:r>
      <w:r>
        <w:rPr>
          <w:rFonts w:ascii="Arial Black" w:hAnsi="Arial Black"/>
          <w:sz w:val="124"/>
          <w:szCs w:val="124"/>
        </w:rPr>
        <w:t>»</w:t>
      </w: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rFonts w:ascii="Arial Black" w:hAnsi="Arial Black"/>
          <w:spacing w:val="20"/>
          <w:sz w:val="130"/>
          <w:szCs w:val="1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Black" w:hAnsi="Arial Black"/>
          <w:sz w:val="130"/>
          <w:szCs w:val="130"/>
        </w:rPr>
        <w:t>(</w:t>
      </w:r>
      <w:r>
        <w:rPr>
          <w:rFonts w:ascii="Arial Black" w:hAnsi="Arial Black"/>
          <w:sz w:val="130"/>
          <w:szCs w:val="130"/>
          <w:lang w:val="en-US"/>
        </w:rPr>
        <w:t>PRO</w:t>
      </w:r>
      <w:r>
        <w:rPr>
          <w:rFonts w:ascii="Arial Black" w:hAnsi="Arial Black"/>
          <w:sz w:val="130"/>
          <w:szCs w:val="130"/>
        </w:rPr>
        <w:t xml:space="preserve">) </w:t>
      </w: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sz w:val="24"/>
          <w:szCs w:val="24"/>
        </w:rPr>
      </w:pPr>
      <w:r>
        <w:drawing>
          <wp:anchor distT="0" distB="0" distL="114300" distR="114300" simplePos="0" relativeHeight="1024" behindDoc="0" locked="0" layoutInCell="1" allowOverlap="1">
            <wp:simplePos x="0" y="0"/>
            <wp:positionH relativeFrom="column">
              <wp:posOffset>828675</wp:posOffset>
            </wp:positionH>
            <wp:positionV relativeFrom="paragraph">
              <wp:posOffset>1270</wp:posOffset>
            </wp:positionV>
            <wp:extent cx="4810760" cy="3618230"/>
            <wp:effectExtent l="0" t="0" r="8890" b="1270"/>
            <wp:wrapNone/>
            <wp:docPr id="1" name="Изображение 32" descr="УФ-365-10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32" descr="УФ-365-10w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10760" cy="36182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sz w:val="24"/>
          <w:szCs w:val="24"/>
        </w:rPr>
      </w:pP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sz w:val="24"/>
          <w:szCs w:val="24"/>
        </w:rPr>
      </w:pP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sz w:val="24"/>
          <w:szCs w:val="24"/>
        </w:rPr>
      </w:pP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sz w:val="24"/>
          <w:szCs w:val="24"/>
        </w:rPr>
      </w:pP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sz w:val="24"/>
          <w:szCs w:val="24"/>
        </w:rPr>
      </w:pP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sz w:val="24"/>
          <w:szCs w:val="24"/>
        </w:rPr>
      </w:pP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sz w:val="24"/>
          <w:szCs w:val="24"/>
        </w:rPr>
      </w:pP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sz w:val="24"/>
          <w:szCs w:val="24"/>
        </w:rPr>
      </w:pP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sz w:val="24"/>
          <w:szCs w:val="24"/>
        </w:rPr>
      </w:pP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sz w:val="24"/>
          <w:szCs w:val="24"/>
        </w:rPr>
      </w:pP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sz w:val="24"/>
          <w:szCs w:val="24"/>
        </w:rPr>
      </w:pP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sz w:val="24"/>
          <w:szCs w:val="24"/>
        </w:rPr>
      </w:pP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sz w:val="24"/>
          <w:szCs w:val="24"/>
        </w:rPr>
      </w:pP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sz w:val="24"/>
          <w:szCs w:val="24"/>
        </w:rPr>
      </w:pP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sz w:val="24"/>
          <w:szCs w:val="24"/>
        </w:rPr>
      </w:pP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i/>
          <w:iCs/>
        </w:rPr>
      </w:pP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rFonts w:ascii="Arial Black" w:hAnsi="Arial Black"/>
          <w:sz w:val="56"/>
          <w:szCs w:val="56"/>
        </w:rPr>
      </w:pP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rFonts w:ascii="Arial Black" w:hAnsi="Arial Black"/>
          <w:sz w:val="56"/>
          <w:szCs w:val="56"/>
        </w:rPr>
      </w:pP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rFonts w:ascii="Arial Black" w:hAnsi="Arial Black"/>
          <w:iCs/>
          <w:sz w:val="56"/>
          <w:szCs w:val="56"/>
        </w:rPr>
      </w:pPr>
      <w:r>
        <w:rPr>
          <w:rFonts w:ascii="Arial Black" w:hAnsi="Arial Black"/>
          <w:sz w:val="56"/>
          <w:szCs w:val="56"/>
        </w:rPr>
        <w:t>ПРОФЕССИОНАЛЬНЫЙ</w:t>
      </w: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rFonts w:ascii="Arial Black" w:hAnsi="Arial Black"/>
          <w:iCs/>
          <w:sz w:val="56"/>
          <w:szCs w:val="56"/>
        </w:rPr>
      </w:pPr>
      <w:r>
        <w:rPr>
          <w:rFonts w:ascii="Arial Black" w:hAnsi="Arial Black"/>
          <w:sz w:val="56"/>
          <w:szCs w:val="56"/>
        </w:rPr>
        <w:t xml:space="preserve">УЛЬТРАФИОЛЕТОВЫЙ </w:t>
      </w:r>
      <w:r>
        <w:rPr>
          <w:rFonts w:ascii="Arial Black" w:hAnsi="Arial Black"/>
          <w:iCs/>
          <w:sz w:val="56"/>
          <w:szCs w:val="56"/>
        </w:rPr>
        <w:t>ФОНАРЬ С ДЛИНОЙ ВОЛНЫ 365 НМ</w:t>
      </w: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rFonts w:ascii="Arial Black" w:hAnsi="Arial Black"/>
          <w:iCs/>
          <w:sz w:val="56"/>
          <w:szCs w:val="56"/>
        </w:rPr>
      </w:pP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rFonts w:ascii="Arial Black" w:hAnsi="Arial Black"/>
          <w:iCs/>
          <w:sz w:val="40"/>
          <w:szCs w:val="40"/>
        </w:rPr>
      </w:pPr>
      <w:r>
        <w:rPr>
          <w:rFonts w:ascii="Arial Black" w:hAnsi="Arial Black"/>
          <w:iCs/>
          <w:sz w:val="40"/>
          <w:szCs w:val="40"/>
        </w:rPr>
        <w:t>РУКОВОДСТВО ПО ЭКСПЛУАТАЦИИ</w:t>
      </w: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rFonts w:ascii="Arial Black" w:hAnsi="Arial Black"/>
          <w:iCs/>
          <w:sz w:val="40"/>
          <w:szCs w:val="40"/>
        </w:rPr>
      </w:pPr>
      <w:r>
        <w:rPr>
          <w:rFonts w:ascii="Arial Black" w:hAnsi="Arial Black"/>
          <w:iCs/>
          <w:sz w:val="40"/>
          <w:szCs w:val="40"/>
        </w:rPr>
        <w:t>ПАСПОРТ</w:t>
      </w:r>
    </w:p>
    <w:p>
      <w:pPr>
        <w:pStyle w:val="5"/>
        <w:pBdr>
          <w:top w:val="thinThickSmallGap" w:color="auto" w:sz="24" w:space="31"/>
          <w:left w:val="thinThickSmallGap" w:color="auto" w:sz="24" w:space="4"/>
          <w:bottom w:val="thickThinSmallGap" w:color="auto" w:sz="24" w:space="31"/>
          <w:right w:val="thickThinSmallGap" w:color="auto" w:sz="24" w:space="4"/>
        </w:pBdr>
        <w:shd w:val="clear" w:color="auto" w:fill="B8CCE4"/>
        <w:ind w:left="0" w:right="0"/>
        <w:rPr>
          <w:rFonts w:ascii="Arial Black" w:hAnsi="Arial Black"/>
          <w:iCs/>
          <w:sz w:val="40"/>
          <w:szCs w:val="40"/>
        </w:rPr>
      </w:pPr>
    </w:p>
    <w:p>
      <w:pPr>
        <w:jc w:val="center"/>
      </w:pPr>
    </w:p>
    <w:p>
      <w:pPr>
        <w:spacing w:before="60"/>
        <w:jc w:val="center"/>
        <w:rPr>
          <w:rFonts w:ascii="Arial Black" w:hAnsi="Arial Black" w:cs="Arial"/>
          <w:b/>
          <w:sz w:val="32"/>
          <w:szCs w:val="32"/>
        </w:rPr>
      </w:pPr>
    </w:p>
    <w:p>
      <w:pPr>
        <w:spacing w:before="60"/>
        <w:jc w:val="center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t>1. НАЗНАЧЕНИЕ</w:t>
      </w:r>
    </w:p>
    <w:p>
      <w:pPr>
        <w:spacing w:before="60"/>
        <w:jc w:val="center"/>
        <w:rPr>
          <w:rFonts w:ascii="Arial Black" w:hAnsi="Arial Black" w:cs="Arial"/>
          <w:b/>
          <w:color w:val="FF0000"/>
          <w:sz w:val="32"/>
          <w:szCs w:val="32"/>
        </w:rPr>
      </w:pPr>
      <w:r>
        <w:rPr>
          <w:rFonts w:ascii="Arial Black" w:hAnsi="Arial Black" w:cs="Arial"/>
          <w:b/>
          <w:color w:val="FF0000"/>
          <w:sz w:val="32"/>
          <w:szCs w:val="32"/>
        </w:rPr>
        <w:t>ВКЛЮЧАТЬ ФОНАРЬ ТОЛЬКО В ЗАЩИТНЫХ ОЧКАХ!</w:t>
      </w:r>
    </w:p>
    <w:p>
      <w:pPr>
        <w:spacing w:before="60"/>
        <w:ind w:firstLine="708"/>
        <w:jc w:val="both"/>
        <w:rPr>
          <w:sz w:val="32"/>
          <w:szCs w:val="32"/>
        </w:rPr>
      </w:pPr>
      <w:r>
        <w:rPr>
          <w:rFonts w:cs="Arial"/>
          <w:sz w:val="32"/>
          <w:szCs w:val="32"/>
        </w:rPr>
        <w:t>Профессиональный ультрафиолетовый фонарь предназначен для решения широкого круга задач, связанных с</w:t>
      </w:r>
      <w:r>
        <w:rPr>
          <w:sz w:val="32"/>
          <w:szCs w:val="32"/>
        </w:rPr>
        <w:t xml:space="preserve"> </w:t>
      </w:r>
      <w:r>
        <w:rPr>
          <w:rFonts w:cs="Arial"/>
          <w:sz w:val="32"/>
          <w:szCs w:val="32"/>
        </w:rPr>
        <w:t>детальной экспертизой паспортов, водительских удостоверений, удостоверений личности, технических и транспортных документов, выездных виз, печатей, банкнот и прочих ценных бумаг и иных документов со специальной УФ-защитой.</w:t>
      </w:r>
      <w:r>
        <w:rPr>
          <w:sz w:val="32"/>
          <w:szCs w:val="32"/>
        </w:rPr>
        <w:t xml:space="preserve"> </w:t>
      </w:r>
    </w:p>
    <w:p>
      <w:pPr>
        <w:spacing w:before="60"/>
        <w:ind w:firstLine="708"/>
        <w:jc w:val="both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Позволяет также выявить признаки частичной подделки документов, картин, марок (подчистки, травления, смывания, дописки, дорисовки, переклейки фотокарточек и т.п.).</w:t>
      </w:r>
    </w:p>
    <w:p>
      <w:pPr>
        <w:spacing w:before="60"/>
        <w:ind w:firstLine="708"/>
        <w:jc w:val="both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Прибор может быть также применен криминалистами для поиска микрочастиц биологических следов на месте происшествия.</w:t>
      </w:r>
    </w:p>
    <w:p>
      <w:pPr>
        <w:spacing w:before="60"/>
        <w:ind w:firstLine="708"/>
        <w:jc w:val="both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В фонаре используется УФ-светодиоды общей мощностью 10 Вт с длиной волны 365 нм.</w:t>
      </w:r>
    </w:p>
    <w:p>
      <w:pPr>
        <w:spacing w:before="60"/>
        <w:jc w:val="center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t>2. ПЕРЕД ИСПОЛЬЗОВАНИЕМ</w:t>
      </w:r>
    </w:p>
    <w:p>
      <w:pPr>
        <w:spacing w:before="60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t>ВНИМАНИЕ!</w:t>
      </w:r>
    </w:p>
    <w:p>
      <w:pPr>
        <w:spacing w:before="60"/>
        <w:jc w:val="both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Проверьте блок осветителя на предмет возможных повреждений во время транспортировки. В случае обнаружения повреждений, свяжитесь с Вашим поставщиком до момента проверки работоспособности фонаря.</w:t>
      </w:r>
    </w:p>
    <w:p>
      <w:pPr>
        <w:spacing w:before="120"/>
        <w:jc w:val="center"/>
        <w:rPr>
          <w:rFonts w:ascii="Arial Black" w:hAnsi="Arial Black" w:cs="Arial"/>
          <w:b/>
          <w:bCs/>
          <w:color w:val="000000"/>
          <w:sz w:val="32"/>
          <w:szCs w:val="32"/>
        </w:rPr>
      </w:pPr>
      <w:r>
        <w:rPr>
          <w:rFonts w:ascii="Arial Black" w:hAnsi="Arial Black" w:cs="Arial"/>
          <w:b/>
          <w:bCs/>
          <w:caps/>
          <w:color w:val="000000"/>
          <w:sz w:val="32"/>
          <w:szCs w:val="32"/>
        </w:rPr>
        <w:t xml:space="preserve">3. Основные </w:t>
      </w:r>
      <w:r>
        <w:rPr>
          <w:rFonts w:ascii="Arial Black" w:hAnsi="Arial Black" w:cs="Arial"/>
          <w:b/>
          <w:bCs/>
          <w:color w:val="000000"/>
          <w:sz w:val="32"/>
          <w:szCs w:val="32"/>
        </w:rPr>
        <w:t>ХАРАКТЕРИСТИКИ</w:t>
      </w:r>
    </w:p>
    <w:p>
      <w:pPr>
        <w:spacing w:before="120"/>
        <w:jc w:val="center"/>
        <w:rPr>
          <w:rFonts w:ascii="Arial Black" w:hAnsi="Arial Black" w:cs="Arial"/>
          <w:b/>
          <w:bCs/>
          <w:color w:val="000000"/>
          <w:sz w:val="32"/>
          <w:szCs w:val="32"/>
        </w:rPr>
      </w:pPr>
    </w:p>
    <w:tbl>
      <w:tblPr>
        <w:tblStyle w:val="11"/>
        <w:tblW w:w="10348" w:type="dxa"/>
        <w:tblInd w:w="108" w:type="dxa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11"/>
        <w:gridCol w:w="6237"/>
      </w:tblGrid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" w:hRule="atLeast"/>
        </w:trPr>
        <w:tc>
          <w:tcPr>
            <w:tcW w:w="41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Источник излучения</w:t>
            </w:r>
          </w:p>
        </w:tc>
        <w:tc>
          <w:tcPr>
            <w:tcW w:w="623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Светодиоды  в виде чипа со сроком эксплуатации 20000 часов 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7" w:hRule="atLeast"/>
        </w:trPr>
        <w:tc>
          <w:tcPr>
            <w:tcW w:w="411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ind w:right="74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Длина волны</w:t>
            </w:r>
          </w:p>
        </w:tc>
        <w:tc>
          <w:tcPr>
            <w:tcW w:w="62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365</w:t>
            </w:r>
            <w:r>
              <w:rPr>
                <w:b/>
                <w:sz w:val="28"/>
                <w:szCs w:val="28"/>
              </w:rPr>
              <w:t xml:space="preserve"> нм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 w:hRule="atLeast"/>
        </w:trPr>
        <w:tc>
          <w:tcPr>
            <w:tcW w:w="411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Мощность</w:t>
            </w:r>
          </w:p>
        </w:tc>
        <w:tc>
          <w:tcPr>
            <w:tcW w:w="62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 Вт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411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Источник питания</w:t>
            </w:r>
          </w:p>
        </w:tc>
        <w:tc>
          <w:tcPr>
            <w:tcW w:w="62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аккумулятор тип 18650 – 2 + 1 шт. 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411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Выходное напряжение</w:t>
            </w:r>
          </w:p>
        </w:tc>
        <w:tc>
          <w:tcPr>
            <w:tcW w:w="62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7.4В-11.1В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411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Время работы от полностью заряженных аккумуляторов</w:t>
            </w:r>
          </w:p>
        </w:tc>
        <w:tc>
          <w:tcPr>
            <w:tcW w:w="62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160 мин+ 40 мин (при использовании 3-го аккумулятора).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11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Материал</w:t>
            </w:r>
          </w:p>
        </w:tc>
        <w:tc>
          <w:tcPr>
            <w:tcW w:w="62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Изготовлен из прочного авиационного алюминия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411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Отражатель</w:t>
            </w:r>
          </w:p>
        </w:tc>
        <w:tc>
          <w:tcPr>
            <w:tcW w:w="62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Оптический отражатель покрытый защитным алюминием 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411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Объектив </w:t>
            </w:r>
          </w:p>
        </w:tc>
        <w:tc>
          <w:tcPr>
            <w:tcW w:w="62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Стекло Вуда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</w:trPr>
        <w:tc>
          <w:tcPr>
            <w:tcW w:w="411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Конструкция</w:t>
            </w:r>
          </w:p>
        </w:tc>
        <w:tc>
          <w:tcPr>
            <w:tcW w:w="62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Водонепроницаемый до стандарта </w:t>
            </w:r>
            <w:r>
              <w:rPr>
                <w:b/>
                <w:sz w:val="28"/>
                <w:szCs w:val="28"/>
                <w:lang w:val="en-US"/>
              </w:rPr>
              <w:t>IPX</w:t>
            </w:r>
            <w:r>
              <w:rPr>
                <w:b/>
                <w:sz w:val="28"/>
                <w:szCs w:val="28"/>
              </w:rPr>
              <w:t xml:space="preserve">5 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11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габариты</w:t>
            </w:r>
          </w:p>
        </w:tc>
        <w:tc>
          <w:tcPr>
            <w:tcW w:w="62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220 х 55 мм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411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вес</w:t>
            </w:r>
          </w:p>
        </w:tc>
        <w:tc>
          <w:tcPr>
            <w:tcW w:w="62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334 г (без элементов питания)</w:t>
            </w:r>
          </w:p>
        </w:tc>
      </w:tr>
    </w:tbl>
    <w:p>
      <w:pPr>
        <w:jc w:val="center"/>
        <w:rPr>
          <w:rFonts w:ascii="Arial Black" w:hAnsi="Arial Black" w:cs="Arial"/>
          <w:b/>
          <w:color w:val="000000"/>
          <w:sz w:val="32"/>
          <w:szCs w:val="32"/>
        </w:rPr>
      </w:pPr>
    </w:p>
    <w:p>
      <w:pPr>
        <w:jc w:val="center"/>
        <w:rPr>
          <w:rFonts w:ascii="Arial Black" w:hAnsi="Arial Black" w:cs="Arial"/>
          <w:b/>
          <w:color w:val="000000"/>
          <w:sz w:val="32"/>
          <w:szCs w:val="32"/>
        </w:rPr>
      </w:pPr>
    </w:p>
    <w:p>
      <w:pPr>
        <w:jc w:val="center"/>
        <w:rPr>
          <w:rFonts w:ascii="Arial Black" w:hAnsi="Arial Black" w:cs="Arial"/>
          <w:b/>
          <w:color w:val="000000"/>
          <w:sz w:val="32"/>
          <w:szCs w:val="32"/>
        </w:rPr>
      </w:pPr>
    </w:p>
    <w:p>
      <w:pPr>
        <w:jc w:val="center"/>
        <w:rPr>
          <w:rFonts w:ascii="Arial Black" w:hAnsi="Arial Black" w:cs="Arial"/>
          <w:b/>
          <w:color w:val="000000"/>
          <w:sz w:val="32"/>
          <w:szCs w:val="32"/>
        </w:rPr>
      </w:pPr>
    </w:p>
    <w:p>
      <w:pPr>
        <w:jc w:val="center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b/>
          <w:color w:val="000000"/>
          <w:sz w:val="32"/>
          <w:szCs w:val="32"/>
        </w:rPr>
        <w:t>4. СОСТАВ КОМПЛЕКТА</w:t>
      </w:r>
    </w:p>
    <w:p>
      <w:pPr>
        <w:jc w:val="center"/>
        <w:rPr>
          <w:rFonts w:ascii="Arial Black" w:hAnsi="Arial Black" w:cs="Arial"/>
          <w:b/>
          <w:color w:val="000000"/>
          <w:sz w:val="32"/>
          <w:szCs w:val="32"/>
        </w:rPr>
      </w:pPr>
    </w:p>
    <w:p>
      <w:pPr>
        <w:numPr>
          <w:ilvl w:val="0"/>
          <w:numId w:val="1"/>
        </w:numPr>
        <w:spacing w:line="200" w:lineRule="atLeast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color w:val="000000"/>
          <w:sz w:val="32"/>
          <w:szCs w:val="32"/>
        </w:rPr>
        <w:t>Ультрафиолетовый светодиодный фонарь – 1 шт.</w:t>
      </w:r>
    </w:p>
    <w:p>
      <w:pPr>
        <w:numPr>
          <w:ilvl w:val="0"/>
          <w:numId w:val="1"/>
        </w:numPr>
        <w:spacing w:line="200" w:lineRule="atLeast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color w:val="000000"/>
          <w:sz w:val="32"/>
          <w:szCs w:val="32"/>
        </w:rPr>
        <w:t>Защитные очки – 1 пара</w:t>
      </w:r>
    </w:p>
    <w:p>
      <w:pPr>
        <w:numPr>
          <w:ilvl w:val="0"/>
          <w:numId w:val="1"/>
        </w:numPr>
        <w:spacing w:line="200" w:lineRule="atLeast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sz w:val="32"/>
          <w:szCs w:val="32"/>
        </w:rPr>
        <w:t xml:space="preserve">Аккумуляторная батарея (18650 </w:t>
      </w:r>
      <w:r>
        <w:rPr>
          <w:rFonts w:cs="Arial"/>
          <w:sz w:val="32"/>
          <w:szCs w:val="32"/>
          <w:lang w:val="en-US"/>
        </w:rPr>
        <w:t>Li</w:t>
      </w:r>
      <w:r>
        <w:rPr>
          <w:rFonts w:cs="Arial"/>
          <w:sz w:val="32"/>
          <w:szCs w:val="32"/>
        </w:rPr>
        <w:t>-</w:t>
      </w:r>
      <w:r>
        <w:rPr>
          <w:rFonts w:cs="Arial"/>
          <w:sz w:val="32"/>
          <w:szCs w:val="32"/>
          <w:lang w:val="en-US"/>
        </w:rPr>
        <w:t>ion</w:t>
      </w:r>
      <w:r>
        <w:rPr>
          <w:rFonts w:cs="Arial"/>
          <w:sz w:val="32"/>
          <w:szCs w:val="32"/>
        </w:rPr>
        <w:t>) – 2+1 шт.</w:t>
      </w:r>
    </w:p>
    <w:p>
      <w:pPr>
        <w:numPr>
          <w:ilvl w:val="0"/>
          <w:numId w:val="1"/>
        </w:numPr>
        <w:spacing w:line="200" w:lineRule="atLeast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sz w:val="32"/>
          <w:szCs w:val="32"/>
        </w:rPr>
        <w:t>Дополнительная секция корпуса для использования дополнительного 3-го аккумулятора – 1 шт</w:t>
      </w:r>
    </w:p>
    <w:p>
      <w:pPr>
        <w:numPr>
          <w:ilvl w:val="0"/>
          <w:numId w:val="1"/>
        </w:numPr>
        <w:spacing w:line="200" w:lineRule="atLeast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sz w:val="32"/>
          <w:szCs w:val="32"/>
        </w:rPr>
        <w:t>Зарядное устройство – 1 шт.</w:t>
      </w:r>
    </w:p>
    <w:p>
      <w:pPr>
        <w:numPr>
          <w:ilvl w:val="0"/>
          <w:numId w:val="1"/>
        </w:numPr>
        <w:spacing w:line="200" w:lineRule="atLeast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sz w:val="32"/>
          <w:szCs w:val="32"/>
        </w:rPr>
        <w:t>Салфетка для протирки объектива – 1 шт.</w:t>
      </w:r>
    </w:p>
    <w:p>
      <w:pPr>
        <w:numPr>
          <w:ilvl w:val="0"/>
          <w:numId w:val="1"/>
        </w:numPr>
        <w:spacing w:line="200" w:lineRule="atLeast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color w:val="000000"/>
          <w:sz w:val="32"/>
          <w:szCs w:val="32"/>
        </w:rPr>
        <w:t>Руководство по эксплуатации, паспорт-1 шт.</w:t>
      </w:r>
    </w:p>
    <w:p>
      <w:pPr>
        <w:numPr>
          <w:ilvl w:val="0"/>
          <w:numId w:val="1"/>
        </w:numPr>
        <w:spacing w:line="200" w:lineRule="atLeast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color w:val="000000"/>
          <w:sz w:val="32"/>
          <w:szCs w:val="32"/>
        </w:rPr>
        <w:t>Транспортная укладка – 1 шт.</w:t>
      </w:r>
    </w:p>
    <w:p>
      <w:pPr>
        <w:spacing w:line="200" w:lineRule="atLeast"/>
        <w:ind w:left="360"/>
        <w:jc w:val="center"/>
        <w:rPr>
          <w:rFonts w:ascii="Arial Black" w:hAnsi="Arial Black" w:cs="Arial"/>
          <w:b/>
          <w:color w:val="000000"/>
          <w:sz w:val="32"/>
          <w:szCs w:val="32"/>
        </w:rPr>
      </w:pPr>
    </w:p>
    <w:p>
      <w:pPr>
        <w:spacing w:line="200" w:lineRule="atLeast"/>
        <w:ind w:left="360"/>
        <w:jc w:val="center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b/>
          <w:color w:val="000000"/>
          <w:sz w:val="32"/>
          <w:szCs w:val="32"/>
        </w:rPr>
        <w:t>5. РАБОТА ИЗДЕЛИЯ</w:t>
      </w:r>
    </w:p>
    <w:p>
      <w:pPr>
        <w:spacing w:line="200" w:lineRule="atLeast"/>
        <w:ind w:left="360"/>
        <w:jc w:val="center"/>
        <w:rPr>
          <w:rFonts w:ascii="Arial Black" w:hAnsi="Arial Black" w:cs="Arial"/>
          <w:b/>
          <w:color w:val="000000"/>
          <w:sz w:val="32"/>
          <w:szCs w:val="32"/>
        </w:rPr>
      </w:pPr>
    </w:p>
    <w:p>
      <w:pPr>
        <w:spacing w:line="200" w:lineRule="atLeast"/>
        <w:ind w:left="360"/>
        <w:jc w:val="center"/>
        <w:rPr>
          <w:rFonts w:cs="Arial"/>
          <w:b/>
          <w:caps/>
          <w:color w:val="000000"/>
          <w:sz w:val="32"/>
          <w:szCs w:val="32"/>
        </w:rPr>
      </w:pPr>
      <w:r>
        <w:rPr>
          <w:rFonts w:cs="Arial"/>
          <w:b/>
          <w:caps/>
          <w:color w:val="000000"/>
          <w:sz w:val="32"/>
          <w:szCs w:val="32"/>
        </w:rPr>
        <w:t>5.1 Включение / выключение прибора</w:t>
      </w:r>
    </w:p>
    <w:p>
      <w:pPr>
        <w:spacing w:line="200" w:lineRule="atLeast"/>
        <w:ind w:left="360"/>
        <w:rPr>
          <w:rFonts w:cs="Arial"/>
          <w:color w:val="000000"/>
          <w:sz w:val="32"/>
          <w:szCs w:val="32"/>
        </w:rPr>
      </w:pPr>
    </w:p>
    <w:p>
      <w:pPr>
        <w:spacing w:before="120" w:line="200" w:lineRule="atLeast"/>
        <w:ind w:left="360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color w:val="000000"/>
          <w:sz w:val="32"/>
          <w:szCs w:val="32"/>
        </w:rPr>
        <w:t>5.1.1 Осветитель имеет один режим – 10 Вт.</w:t>
      </w:r>
    </w:p>
    <w:p>
      <w:pPr>
        <w:spacing w:before="120" w:line="200" w:lineRule="atLeast"/>
        <w:ind w:left="360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color w:val="000000"/>
          <w:sz w:val="32"/>
          <w:szCs w:val="32"/>
        </w:rPr>
        <w:t>5.1.2 Кнопка включения/выключения расположена на корпусе фонаря.</w:t>
      </w:r>
    </w:p>
    <w:p>
      <w:pPr>
        <w:spacing w:before="120" w:line="200" w:lineRule="atLeast"/>
        <w:ind w:left="360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color w:val="000000"/>
          <w:sz w:val="32"/>
          <w:szCs w:val="32"/>
        </w:rPr>
        <w:t>5.1.3 Фонарь достигает полной мощности сразу же после включения.</w:t>
      </w:r>
    </w:p>
    <w:p>
      <w:pPr>
        <w:spacing w:before="120" w:line="200" w:lineRule="atLeast"/>
        <w:ind w:left="360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color w:val="000000"/>
          <w:sz w:val="32"/>
          <w:szCs w:val="32"/>
        </w:rPr>
        <w:t xml:space="preserve">5.1.4 Для увеличения времени работы использовать дополнительную секцию корпуса и третий аккумулятор. </w:t>
      </w:r>
    </w:p>
    <w:p>
      <w:pPr>
        <w:spacing w:before="120" w:line="200" w:lineRule="atLeast"/>
        <w:ind w:left="360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color w:val="000000"/>
          <w:sz w:val="32"/>
          <w:szCs w:val="32"/>
        </w:rPr>
        <w:t>5.1.. При снижении яркости свечения заменить элементы питания. Зарядить аккумулятор с помощью входящего в комплект зарядного устройства. Время зарядки – 4 часа.</w:t>
      </w:r>
    </w:p>
    <w:p>
      <w:pPr>
        <w:spacing w:before="120"/>
        <w:jc w:val="center"/>
        <w:rPr>
          <w:rFonts w:ascii="Arial Black" w:hAnsi="Arial Black" w:cs="Arial"/>
          <w:b/>
          <w:bCs/>
          <w:color w:val="000000"/>
          <w:sz w:val="32"/>
          <w:szCs w:val="32"/>
        </w:rPr>
      </w:pPr>
    </w:p>
    <w:p>
      <w:pPr>
        <w:spacing w:line="200" w:lineRule="atLeast"/>
        <w:ind w:left="360"/>
        <w:jc w:val="center"/>
        <w:rPr>
          <w:rFonts w:cs="Arial"/>
          <w:b/>
          <w:color w:val="000000"/>
          <w:sz w:val="32"/>
          <w:szCs w:val="32"/>
        </w:rPr>
      </w:pPr>
      <w:r>
        <w:rPr>
          <w:rFonts w:cs="Arial"/>
          <w:b/>
          <w:color w:val="000000"/>
          <w:sz w:val="32"/>
          <w:szCs w:val="32"/>
        </w:rPr>
        <w:t>5.2. МЕРЫ БЕЗОПАСНОСТИ ПРИ  РАБОТЕ С ФОНАРЁМ</w:t>
      </w:r>
    </w:p>
    <w:p>
      <w:pPr>
        <w:spacing w:line="200" w:lineRule="atLeast"/>
        <w:ind w:left="360"/>
        <w:jc w:val="center"/>
        <w:rPr>
          <w:rFonts w:cs="Arial"/>
          <w:b/>
          <w:color w:val="000000"/>
          <w:sz w:val="32"/>
          <w:szCs w:val="32"/>
        </w:rPr>
      </w:pPr>
    </w:p>
    <w:p>
      <w:pPr>
        <w:spacing w:before="60"/>
        <w:jc w:val="center"/>
        <w:rPr>
          <w:rFonts w:ascii="Arial Black" w:hAnsi="Arial Black" w:cs="Arial"/>
          <w:b/>
          <w:color w:val="FF0000"/>
          <w:sz w:val="32"/>
          <w:szCs w:val="32"/>
        </w:rPr>
      </w:pPr>
      <w:r>
        <w:rPr>
          <w:rFonts w:ascii="Arial Black" w:hAnsi="Arial Black" w:cs="Arial"/>
          <w:b/>
          <w:color w:val="FF0000"/>
          <w:sz w:val="32"/>
          <w:szCs w:val="32"/>
        </w:rPr>
        <w:t>ВКЛЮЧАТЬ ФОНАРЬ ТОЛЬКО В ЗАЩИТНЫХ ОЧКАХ!</w:t>
      </w:r>
    </w:p>
    <w:p>
      <w:pPr>
        <w:spacing w:line="200" w:lineRule="atLeast"/>
        <w:ind w:left="360"/>
        <w:jc w:val="center"/>
        <w:rPr>
          <w:rFonts w:cs="Arial"/>
          <w:b/>
          <w:color w:val="000000"/>
          <w:sz w:val="32"/>
          <w:szCs w:val="32"/>
        </w:rPr>
      </w:pPr>
    </w:p>
    <w:p>
      <w:pPr>
        <w:spacing w:before="120" w:line="200" w:lineRule="atLeast"/>
        <w:ind w:left="360"/>
        <w:jc w:val="both"/>
        <w:rPr>
          <w:rFonts w:cs="Arial"/>
          <w:b/>
          <w:color w:val="FF0000"/>
          <w:sz w:val="32"/>
          <w:szCs w:val="32"/>
        </w:rPr>
      </w:pPr>
      <w:r>
        <w:rPr>
          <w:rFonts w:cs="Arial"/>
          <w:b/>
          <w:color w:val="FF0000"/>
          <w:sz w:val="32"/>
          <w:szCs w:val="32"/>
        </w:rPr>
        <w:t>5.2.1.  Не светите фонарем в глаза.</w:t>
      </w:r>
    </w:p>
    <w:p>
      <w:pPr>
        <w:spacing w:before="120" w:line="200" w:lineRule="atLeast"/>
        <w:ind w:left="360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color w:val="000000"/>
          <w:sz w:val="32"/>
          <w:szCs w:val="32"/>
        </w:rPr>
        <w:t>5.2.2. Старайтесь максимально ограничить воздействие на кожу.</w:t>
      </w:r>
    </w:p>
    <w:p>
      <w:pPr>
        <w:spacing w:before="120" w:line="200" w:lineRule="atLeast"/>
        <w:ind w:left="360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color w:val="000000"/>
          <w:sz w:val="32"/>
          <w:szCs w:val="32"/>
        </w:rPr>
        <w:t>5.2.3. При использовании фонаря в течении длительного времени или в ограниченном пространстве рекомендуется надевать одежду с длинными рукавами и перчатки.</w:t>
      </w:r>
    </w:p>
    <w:p>
      <w:pPr>
        <w:jc w:val="center"/>
        <w:rPr>
          <w:rFonts w:cs="Arial"/>
          <w:b/>
          <w:sz w:val="32"/>
          <w:szCs w:val="32"/>
        </w:rPr>
      </w:pPr>
    </w:p>
    <w:p>
      <w:pPr>
        <w:jc w:val="center"/>
        <w:rPr>
          <w:rFonts w:cs="Arial"/>
          <w:b/>
          <w:sz w:val="28"/>
          <w:szCs w:val="28"/>
        </w:rPr>
      </w:pPr>
    </w:p>
    <w:p>
      <w:pPr>
        <w:jc w:val="center"/>
        <w:rPr>
          <w:rFonts w:cs="Arial"/>
          <w:b/>
          <w:sz w:val="28"/>
          <w:szCs w:val="28"/>
        </w:rPr>
      </w:pPr>
    </w:p>
    <w:p>
      <w:pPr>
        <w:jc w:val="center"/>
        <w:rPr>
          <w:rFonts w:cs="Arial"/>
          <w:b/>
          <w:sz w:val="28"/>
          <w:szCs w:val="28"/>
        </w:rPr>
      </w:pPr>
    </w:p>
    <w:p>
      <w:pPr>
        <w:jc w:val="center"/>
        <w:rPr>
          <w:rFonts w:cs="Arial"/>
          <w:b/>
          <w:sz w:val="28"/>
          <w:szCs w:val="28"/>
        </w:rPr>
      </w:pPr>
    </w:p>
    <w:p>
      <w:pPr>
        <w:jc w:val="center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t>6. СВИДЕТЕЛЬСТВО О ПРИЁМКЕ</w:t>
      </w:r>
    </w:p>
    <w:p>
      <w:pPr>
        <w:spacing w:before="100" w:beforeAutospacing="1"/>
        <w:ind w:left="360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Изделие УФ-365-10</w:t>
      </w:r>
      <w:r>
        <w:rPr>
          <w:rFonts w:cs="Arial"/>
          <w:sz w:val="32"/>
          <w:szCs w:val="32"/>
          <w:lang w:val="en-US"/>
        </w:rPr>
        <w:t>W</w:t>
      </w:r>
      <w:r>
        <w:rPr>
          <w:rFonts w:cs="Arial"/>
          <w:sz w:val="32"/>
          <w:szCs w:val="32"/>
        </w:rPr>
        <w:t xml:space="preserve"> соответствует техническим требованиям и признано годным к эксплуатации.</w:t>
      </w:r>
    </w:p>
    <w:p>
      <w:pPr>
        <w:ind w:left="360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Изделие не содержит драгоценных металлов.</w:t>
      </w:r>
    </w:p>
    <w:p>
      <w:pPr>
        <w:ind w:left="360"/>
        <w:rPr>
          <w:rFonts w:cs="Arial"/>
          <w:sz w:val="32"/>
          <w:szCs w:val="32"/>
        </w:rPr>
      </w:pPr>
    </w:p>
    <w:p>
      <w:pPr>
        <w:ind w:left="360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Представитель ОТК___________________________</w:t>
      </w:r>
    </w:p>
    <w:p>
      <w:pPr>
        <w:ind w:left="360"/>
        <w:rPr>
          <w:rFonts w:cs="Arial"/>
          <w:sz w:val="32"/>
          <w:szCs w:val="32"/>
        </w:rPr>
      </w:pPr>
    </w:p>
    <w:p>
      <w:pPr>
        <w:ind w:left="360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«___» ___________________20____г.</w:t>
      </w:r>
    </w:p>
    <w:p>
      <w:pPr>
        <w:ind w:left="360"/>
        <w:rPr>
          <w:rFonts w:cs="Arial"/>
          <w:sz w:val="32"/>
          <w:szCs w:val="32"/>
        </w:rPr>
      </w:pPr>
    </w:p>
    <w:p>
      <w:pPr>
        <w:ind w:left="360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 xml:space="preserve">                               М.П.</w:t>
      </w:r>
    </w:p>
    <w:p>
      <w:pPr>
        <w:ind w:left="360"/>
        <w:rPr>
          <w:rFonts w:cs="Arial"/>
          <w:sz w:val="32"/>
          <w:szCs w:val="32"/>
        </w:rPr>
      </w:pPr>
    </w:p>
    <w:p>
      <w:pPr>
        <w:ind w:left="360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Продавец ____________________________________</w:t>
      </w:r>
    </w:p>
    <w:p>
      <w:pPr>
        <w:ind w:left="360"/>
        <w:rPr>
          <w:rFonts w:cs="Arial"/>
          <w:sz w:val="32"/>
          <w:szCs w:val="32"/>
        </w:rPr>
      </w:pPr>
    </w:p>
    <w:p>
      <w:pPr>
        <w:ind w:left="360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«___» ___________________20____г.</w:t>
      </w:r>
    </w:p>
    <w:p>
      <w:pPr>
        <w:ind w:left="360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 xml:space="preserve">                               М.П.</w:t>
      </w:r>
    </w:p>
    <w:p>
      <w:pPr>
        <w:spacing w:before="120"/>
        <w:jc w:val="center"/>
        <w:rPr>
          <w:rFonts w:ascii="Arial Black" w:hAnsi="Arial Black" w:cs="Arial"/>
          <w:b/>
          <w:bCs/>
          <w:color w:val="000000"/>
          <w:sz w:val="32"/>
          <w:szCs w:val="32"/>
        </w:rPr>
      </w:pPr>
    </w:p>
    <w:p>
      <w:pPr>
        <w:spacing w:before="120"/>
        <w:jc w:val="center"/>
        <w:rPr>
          <w:rFonts w:ascii="Arial Black" w:hAnsi="Arial Black" w:cs="Arial"/>
          <w:b/>
          <w:bCs/>
          <w:color w:val="000000"/>
          <w:sz w:val="32"/>
          <w:szCs w:val="32"/>
        </w:rPr>
      </w:pPr>
    </w:p>
    <w:p>
      <w:pPr>
        <w:spacing w:before="120"/>
        <w:jc w:val="center"/>
        <w:rPr>
          <w:rFonts w:ascii="Arial Black" w:hAnsi="Arial Black" w:cs="Arial"/>
          <w:b/>
          <w:bCs/>
          <w:color w:val="000000"/>
          <w:sz w:val="32"/>
          <w:szCs w:val="32"/>
        </w:rPr>
      </w:pPr>
    </w:p>
    <w:p>
      <w:pPr>
        <w:spacing w:before="120"/>
        <w:jc w:val="center"/>
        <w:rPr>
          <w:rFonts w:ascii="Arial Black" w:hAnsi="Arial Black" w:cs="Arial"/>
          <w:b/>
          <w:bCs/>
          <w:color w:val="000000"/>
          <w:sz w:val="32"/>
          <w:szCs w:val="32"/>
        </w:rPr>
      </w:pPr>
    </w:p>
    <w:p>
      <w:pPr>
        <w:widowControl w:val="0"/>
        <w:ind w:left="360"/>
        <w:jc w:val="center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t>7. ГАРАНТИИ ПОСТАВЩИКА</w:t>
      </w:r>
    </w:p>
    <w:p>
      <w:pPr>
        <w:spacing w:before="100" w:beforeAutospacing="1"/>
        <w:ind w:left="360" w:firstLine="348"/>
        <w:jc w:val="both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Предприятие - поставщик гарантирует сохранность технических характеристик изделия в течение одного года, но не более 3000 часов.</w:t>
      </w:r>
    </w:p>
    <w:p>
      <w:pPr>
        <w:ind w:left="360"/>
        <w:jc w:val="both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Срок гарантии исчисляется с момента отгрузки изделия потребителю.</w:t>
      </w:r>
    </w:p>
    <w:p>
      <w:pPr>
        <w:widowControl w:val="0"/>
        <w:ind w:left="360"/>
        <w:jc w:val="both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Срок гарантии увеличивается на время ремонта (с момента выставления претензии).</w:t>
      </w:r>
    </w:p>
    <w:p>
      <w:pPr>
        <w:widowControl w:val="0"/>
        <w:ind w:left="360"/>
        <w:jc w:val="both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В случае отказов изделия по вине предприятия-изготовителя оформление претензий по качеству производится в соответствии с ГОСТ В15.703-78.</w:t>
      </w:r>
    </w:p>
    <w:p>
      <w:pPr>
        <w:widowControl w:val="0"/>
        <w:ind w:left="360"/>
        <w:jc w:val="both"/>
        <w:rPr>
          <w:rFonts w:cs="Arial"/>
          <w:sz w:val="32"/>
          <w:szCs w:val="32"/>
        </w:rPr>
      </w:pPr>
    </w:p>
    <w:p>
      <w:pPr>
        <w:widowControl w:val="0"/>
        <w:ind w:left="360"/>
        <w:jc w:val="both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Предприятие - поставщик снимает гарантии в случае:</w:t>
      </w:r>
    </w:p>
    <w:p>
      <w:pPr>
        <w:widowControl w:val="0"/>
        <w:ind w:left="360"/>
        <w:jc w:val="both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ab/>
      </w:r>
      <w:r>
        <w:rPr>
          <w:rFonts w:cs="Arial"/>
          <w:sz w:val="32"/>
          <w:szCs w:val="32"/>
        </w:rPr>
        <w:t>1) эксплуатации, хранения и транспортирования с отклонениями от требований, изложенных в паспорте</w:t>
      </w:r>
    </w:p>
    <w:p>
      <w:pPr>
        <w:widowControl w:val="0"/>
        <w:ind w:left="360"/>
        <w:jc w:val="both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ab/>
      </w:r>
      <w:r>
        <w:rPr>
          <w:rFonts w:cs="Arial"/>
          <w:sz w:val="32"/>
          <w:szCs w:val="32"/>
        </w:rPr>
        <w:t>2) механических повреждений.</w:t>
      </w:r>
      <w:r>
        <w:rPr>
          <w:rFonts w:cs="Arial"/>
          <w:sz w:val="32"/>
          <w:szCs w:val="32"/>
        </w:rPr>
        <w:tab/>
      </w:r>
    </w:p>
    <w:p>
      <w:pPr>
        <w:ind w:left="360"/>
        <w:jc w:val="both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 xml:space="preserve">Внегарантийный ремонт изделий осуществляет предприятие-изготовитель. </w:t>
      </w:r>
    </w:p>
    <w:p>
      <w:pPr>
        <w:jc w:val="center"/>
      </w:pPr>
    </w:p>
    <w:sectPr>
      <w:footerReference r:id="rId3" w:type="even"/>
      <w:pgSz w:w="11906" w:h="16838"/>
      <w:pgMar w:top="360" w:right="850" w:bottom="142" w:left="720" w:header="708" w:footer="708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FuturisXCTT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R Cyr 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 Black">
    <w:panose1 w:val="020B0A04020102020204"/>
    <w:charset w:val="CC"/>
    <w:family w:val="swiss"/>
    <w:pitch w:val="default"/>
    <w:sig w:usb0="A00002AF" w:usb1="400078FB" w:usb2="00000000" w:usb3="00000000" w:csb0="6000009F" w:csb1="DFD7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center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end"/>
    </w:r>
  </w:p>
  <w:p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B12FD5"/>
    <w:multiLevelType w:val="multilevel"/>
    <w:tmpl w:val="76B12FD5"/>
    <w:lvl w:ilvl="0" w:tentative="0">
      <w:start w:val="1"/>
      <w:numFmt w:val="bullet"/>
      <w:lvlText w:val=""/>
      <w:lvlJc w:val="left"/>
      <w:pPr>
        <w:tabs>
          <w:tab w:val="left" w:pos="720"/>
        </w:tabs>
        <w:ind w:left="720" w:hanging="360"/>
      </w:pPr>
      <w:rPr>
        <w:rFonts w:hint="default" w:ascii="Wingdings" w:hAnsi="Wingdings"/>
        <w:color w:val="000080"/>
        <w:sz w:val="36"/>
        <w:szCs w:val="24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nforcement="0"/>
  <w:defaultTabStop w:val="708"/>
  <w:noPunctuationKerning w:val="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910"/>
    <w:rsid w:val="00030059"/>
    <w:rsid w:val="0003292E"/>
    <w:rsid w:val="00083256"/>
    <w:rsid w:val="000B1249"/>
    <w:rsid w:val="000B3639"/>
    <w:rsid w:val="000E00EE"/>
    <w:rsid w:val="0011348D"/>
    <w:rsid w:val="00113D37"/>
    <w:rsid w:val="001573F3"/>
    <w:rsid w:val="001A1FE2"/>
    <w:rsid w:val="001A2466"/>
    <w:rsid w:val="001D5838"/>
    <w:rsid w:val="002105B4"/>
    <w:rsid w:val="00212A1B"/>
    <w:rsid w:val="00212B02"/>
    <w:rsid w:val="00225217"/>
    <w:rsid w:val="00271475"/>
    <w:rsid w:val="002802C9"/>
    <w:rsid w:val="00294E81"/>
    <w:rsid w:val="002B706C"/>
    <w:rsid w:val="002E2CD0"/>
    <w:rsid w:val="002F04F9"/>
    <w:rsid w:val="002F0C09"/>
    <w:rsid w:val="00337967"/>
    <w:rsid w:val="00352CD1"/>
    <w:rsid w:val="003637BA"/>
    <w:rsid w:val="00382A1A"/>
    <w:rsid w:val="00393F7F"/>
    <w:rsid w:val="003A4B74"/>
    <w:rsid w:val="003B09A4"/>
    <w:rsid w:val="003D15AC"/>
    <w:rsid w:val="003E2F88"/>
    <w:rsid w:val="003F2875"/>
    <w:rsid w:val="0042656D"/>
    <w:rsid w:val="004908AE"/>
    <w:rsid w:val="004918DB"/>
    <w:rsid w:val="004A0700"/>
    <w:rsid w:val="004E20C5"/>
    <w:rsid w:val="00523E57"/>
    <w:rsid w:val="005C5976"/>
    <w:rsid w:val="00606192"/>
    <w:rsid w:val="00625ABC"/>
    <w:rsid w:val="006719F5"/>
    <w:rsid w:val="00696A9D"/>
    <w:rsid w:val="006974E9"/>
    <w:rsid w:val="006A2C2B"/>
    <w:rsid w:val="006B1F3E"/>
    <w:rsid w:val="006C24D6"/>
    <w:rsid w:val="00702910"/>
    <w:rsid w:val="007878CC"/>
    <w:rsid w:val="00805D90"/>
    <w:rsid w:val="00861484"/>
    <w:rsid w:val="008C5A57"/>
    <w:rsid w:val="008C64EC"/>
    <w:rsid w:val="008D51A5"/>
    <w:rsid w:val="008F51EB"/>
    <w:rsid w:val="009041E5"/>
    <w:rsid w:val="00905FAB"/>
    <w:rsid w:val="00937F45"/>
    <w:rsid w:val="00964BE5"/>
    <w:rsid w:val="009F4549"/>
    <w:rsid w:val="00A11639"/>
    <w:rsid w:val="00A13B4E"/>
    <w:rsid w:val="00A478E6"/>
    <w:rsid w:val="00A564EC"/>
    <w:rsid w:val="00A63A84"/>
    <w:rsid w:val="00A74D2F"/>
    <w:rsid w:val="00AA535B"/>
    <w:rsid w:val="00AF64AE"/>
    <w:rsid w:val="00B21D82"/>
    <w:rsid w:val="00B52C9B"/>
    <w:rsid w:val="00B5425D"/>
    <w:rsid w:val="00B97681"/>
    <w:rsid w:val="00BA0B32"/>
    <w:rsid w:val="00BB15BD"/>
    <w:rsid w:val="00C17BDA"/>
    <w:rsid w:val="00C40118"/>
    <w:rsid w:val="00C40D0C"/>
    <w:rsid w:val="00C90AA1"/>
    <w:rsid w:val="00C968E5"/>
    <w:rsid w:val="00CB272C"/>
    <w:rsid w:val="00D06071"/>
    <w:rsid w:val="00D2393E"/>
    <w:rsid w:val="00D611DA"/>
    <w:rsid w:val="00D82F09"/>
    <w:rsid w:val="00D90BBD"/>
    <w:rsid w:val="00D91198"/>
    <w:rsid w:val="00DB7DCC"/>
    <w:rsid w:val="00DC1EDD"/>
    <w:rsid w:val="00DD1680"/>
    <w:rsid w:val="00DD6D44"/>
    <w:rsid w:val="00E103E5"/>
    <w:rsid w:val="00E27B75"/>
    <w:rsid w:val="00E46A3E"/>
    <w:rsid w:val="00E557B9"/>
    <w:rsid w:val="00E7194F"/>
    <w:rsid w:val="00F020CD"/>
    <w:rsid w:val="00F323B0"/>
    <w:rsid w:val="00F46F8E"/>
    <w:rsid w:val="00F51B81"/>
    <w:rsid w:val="00F640FB"/>
    <w:rsid w:val="00F8273A"/>
    <w:rsid w:val="00F97CA6"/>
    <w:rsid w:val="00FA5EBF"/>
    <w:rsid w:val="00FB5BF5"/>
    <w:rsid w:val="3BF43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Times New Roma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11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uiPriority w:val="0"/>
    <w:pPr>
      <w:spacing w:after="120" w:line="480" w:lineRule="auto"/>
    </w:pPr>
  </w:style>
  <w:style w:type="paragraph" w:styleId="3">
    <w:name w:val="header"/>
    <w:basedOn w:val="1"/>
    <w:link w:val="15"/>
    <w:uiPriority w:val="0"/>
    <w:pPr>
      <w:tabs>
        <w:tab w:val="center" w:pos="4677"/>
        <w:tab w:val="right" w:pos="9355"/>
      </w:tabs>
    </w:pPr>
  </w:style>
  <w:style w:type="paragraph" w:styleId="4">
    <w:name w:val="Body Text"/>
    <w:basedOn w:val="1"/>
    <w:uiPriority w:val="0"/>
    <w:pPr>
      <w:jc w:val="both"/>
    </w:pPr>
    <w:rPr>
      <w:rFonts w:ascii="Arial" w:hAnsi="Arial"/>
      <w:szCs w:val="20"/>
    </w:rPr>
  </w:style>
  <w:style w:type="paragraph" w:styleId="5">
    <w:name w:val="Title"/>
    <w:basedOn w:val="1"/>
    <w:qFormat/>
    <w:uiPriority w:val="0"/>
    <w:pPr>
      <w:autoSpaceDE w:val="0"/>
      <w:autoSpaceDN w:val="0"/>
      <w:adjustRightInd w:val="0"/>
      <w:ind w:left="57" w:right="57"/>
      <w:jc w:val="center"/>
    </w:pPr>
    <w:rPr>
      <w:rFonts w:ascii="Arial" w:hAnsi="Arial" w:cs="Arial"/>
      <w:b/>
      <w:bCs/>
      <w:sz w:val="28"/>
      <w:szCs w:val="28"/>
    </w:rPr>
  </w:style>
  <w:style w:type="paragraph" w:styleId="6">
    <w:name w:val="footer"/>
    <w:basedOn w:val="1"/>
    <w:uiPriority w:val="0"/>
    <w:pPr>
      <w:tabs>
        <w:tab w:val="center" w:pos="4677"/>
        <w:tab w:val="right" w:pos="9355"/>
      </w:tabs>
    </w:pPr>
  </w:style>
  <w:style w:type="paragraph" w:styleId="7">
    <w:name w:val="Body Text 3"/>
    <w:basedOn w:val="1"/>
    <w:uiPriority w:val="0"/>
    <w:pPr>
      <w:spacing w:after="120"/>
    </w:pPr>
    <w:rPr>
      <w:sz w:val="16"/>
      <w:szCs w:val="16"/>
    </w:rPr>
  </w:style>
  <w:style w:type="character" w:styleId="9">
    <w:name w:val="Hyperlink"/>
    <w:uiPriority w:val="0"/>
    <w:rPr>
      <w:color w:val="0000FF"/>
      <w:u w:val="single"/>
    </w:rPr>
  </w:style>
  <w:style w:type="character" w:styleId="10">
    <w:name w:val="page number"/>
    <w:basedOn w:val="8"/>
    <w:uiPriority w:val="0"/>
  </w:style>
  <w:style w:type="paragraph" w:customStyle="1" w:styleId="12">
    <w:name w:val="заголовок 1"/>
    <w:basedOn w:val="1"/>
    <w:next w:val="1"/>
    <w:uiPriority w:val="0"/>
    <w:pPr>
      <w:keepNext/>
      <w:shd w:val="pct20" w:color="auto" w:fill="auto"/>
      <w:autoSpaceDE w:val="0"/>
      <w:autoSpaceDN w:val="0"/>
      <w:adjustRightInd w:val="0"/>
      <w:ind w:right="458" w:firstLine="851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13">
    <w:name w:val="text"/>
    <w:uiPriority w:val="0"/>
    <w:pPr>
      <w:tabs>
        <w:tab w:val="left" w:pos="567"/>
        <w:tab w:val="left" w:pos="3969"/>
      </w:tabs>
      <w:spacing w:line="210" w:lineRule="atLeast"/>
      <w:jc w:val="both"/>
    </w:pPr>
    <w:rPr>
      <w:rFonts w:ascii="FuturisXCTT" w:hAnsi="FuturisXCTT" w:eastAsia="Times New Roman" w:cs="Times New Roman"/>
      <w:color w:val="000000"/>
      <w:lang w:val="ru-RU" w:eastAsia="ru-RU" w:bidi="ar-SA"/>
    </w:rPr>
  </w:style>
  <w:style w:type="paragraph" w:customStyle="1" w:styleId="14">
    <w:name w:val="Нормальный"/>
    <w:uiPriority w:val="0"/>
    <w:pPr>
      <w:autoSpaceDE w:val="0"/>
      <w:autoSpaceDN w:val="0"/>
      <w:adjustRightInd w:val="0"/>
    </w:pPr>
    <w:rPr>
      <w:rFonts w:ascii="Times NR Cyr MT" w:hAnsi="Times NR Cyr MT" w:eastAsia="Times New Roman" w:cs="Times New Roman"/>
      <w:lang w:val="ru-RU" w:eastAsia="ru-RU" w:bidi="ar-SA"/>
    </w:rPr>
  </w:style>
  <w:style w:type="character" w:customStyle="1" w:styleId="15">
    <w:name w:val="Верхний колонтитул Знак"/>
    <w:link w:val="3"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595</Words>
  <Characters>3398</Characters>
  <Lines>28</Lines>
  <Paragraphs>7</Paragraphs>
  <TotalTime>99</TotalTime>
  <ScaleCrop>false</ScaleCrop>
  <LinksUpToDate>false</LinksUpToDate>
  <CharactersWithSpaces>3986</CharactersWithSpaces>
  <Application>WPS Office_10.2.0.7646_F1E327BC-269C-435d-A152-05C5408002CA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2020-07-17T03:47:00Z</dcterms:created>
  <dc:creator>Olesya</dc:creator>
  <cp:lastModifiedBy>Михаил Путера</cp:lastModifiedBy>
  <cp:lastPrinted>2020-07-17T13:21:00Z</cp:lastPrinted>
  <dcterms:modified xsi:type="dcterms:W3CDTF">2020-07-20T17:03:49Z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1049-10.2.0.7646</vt:lpwstr>
  </property>
</Properties>
</file>