
<file path=[Content_Types].xml><?xml version="1.0" encoding="utf-8"?>
<Types xmlns="http://schemas.openxmlformats.org/package/2006/content-types">
  <Default Extension="xml" ContentType="application/xml"/>
  <Default Extension="jpg" ContentType="image/jpeg"/>
  <Default Extension="png" ContentType="image/png"/>
  <Default Extension="rels" ContentType="application/vnd.openxmlformats-package.relationships+xml"/>
  <Default Extension="jpeg" ContentType="image/jpeg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body>
    <w:p w14:paraId="00000001">
      <w:pPr>
        <w:rPr>
          <w:rFonts w:ascii="Times New Roman" w:cs="Times New Roman" w:hAnsi="Times New Roman"/>
          <w:sz w:val="32"/>
          <w:szCs w:val="32"/>
        </w:rPr>
      </w:pPr>
      <w:r>
        <w:rPr/>
        <w:drawing xmlns:mc="http://schemas.openxmlformats.org/markup-compatibility/2006">
          <wp:anchor allowOverlap="1" behindDoc="1" distT="0" distB="0" distL="118872" distR="118872" layoutInCell="1" locked="0" relativeHeight="251669505" simplePos="0">
            <wp:simplePos x="0" y="0"/>
            <wp:positionH relativeFrom="column">
              <wp:posOffset>152400</wp:posOffset>
            </wp:positionH>
            <wp:positionV relativeFrom="paragraph">
              <wp:posOffset>231775</wp:posOffset>
            </wp:positionV>
            <wp:extent cx="1508760" cy="762000"/>
            <wp:effectExtent l="0" t="0" r="0" b="0"/>
            <wp:wrapNone/>
            <wp:docPr id="40" name="Рисунок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8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14:paraId="00000002">
      <w:pPr>
        <w:rPr>
          <w:rFonts w:ascii="Times New Roman" w:cs="Times New Roman" w:hAnsi="Times New Roman"/>
          <w:sz w:val="32"/>
          <w:szCs w:val="32"/>
        </w:rPr>
      </w:pPr>
    </w:p>
    <w:p w14:paraId="00000003">
      <w:pPr>
        <w:rPr>
          <w:rFonts w:ascii="Times New Roman" w:cs="Times New Roman" w:hAnsi="Times New Roman"/>
          <w:sz w:val="32"/>
          <w:szCs w:val="32"/>
        </w:rPr>
      </w:pPr>
    </w:p>
    <w:p w14:paraId="00000004">
      <w:pPr>
        <w:rPr>
          <w:rFonts w:ascii="Times New Roman" w:cs="Times New Roman" w:hAnsi="Times New Roman"/>
          <w:sz w:val="32"/>
          <w:szCs w:val="32"/>
        </w:rPr>
      </w:pPr>
    </w:p>
    <w:p w14:paraId="00000005">
      <w:pPr>
        <w:jc w:val="center"/>
        <w:rPr>
          <w:rFonts w:ascii="Times New Roman" w:cs="Times New Roman" w:hAnsi="Times New Roman"/>
          <w:b/>
          <w:sz w:val="72"/>
          <w:szCs w:val="72"/>
        </w:rPr>
      </w:pPr>
      <w:r>
        <w:rPr>
          <w:rFonts w:ascii="Times New Roman" w:cs="Times New Roman" w:hAnsi="Times New Roman"/>
          <w:b/>
          <w:sz w:val="72"/>
          <w:szCs w:val="72"/>
        </w:rPr>
        <w:t>Щуп</w:t>
      </w:r>
      <w:r>
        <w:rPr>
          <w:b/>
          <w:sz w:val="72"/>
          <w:szCs w:val="72"/>
        </w:rPr>
        <w:t xml:space="preserve"> </w:t>
      </w:r>
      <w:r>
        <w:rPr>
          <w:rFonts w:ascii="Times New Roman" w:cs="Times New Roman" w:hAnsi="Times New Roman"/>
          <w:b/>
          <w:sz w:val="72"/>
          <w:szCs w:val="72"/>
        </w:rPr>
        <w:t>саперный</w:t>
      </w:r>
    </w:p>
    <w:p w14:paraId="00000006">
      <w:pPr>
        <w:jc w:val="center"/>
        <w:rPr>
          <w:rFonts w:ascii="Times New Roman" w:cs="Times New Roman" w:hAnsi="Times New Roman"/>
          <w:b/>
          <w:sz w:val="52"/>
          <w:szCs w:val="52"/>
        </w:rPr>
      </w:pPr>
      <w:r>
        <w:rPr>
          <w:rFonts w:ascii="Times New Roman" w:cs="Times New Roman" w:hAnsi="Times New Roman"/>
          <w:b/>
          <w:sz w:val="52"/>
          <w:szCs w:val="52"/>
        </w:rPr>
        <w:t>двухколенный</w:t>
      </w:r>
    </w:p>
    <w:p w14:paraId="00000007">
      <w:pPr>
        <w:jc w:val="center"/>
        <w:rPr>
          <w:rFonts w:ascii="Times New Roman" w:cs="Times New Roman" w:hAnsi="Times New Roman"/>
          <w:b/>
          <w:sz w:val="52"/>
          <w:szCs w:val="52"/>
        </w:rPr>
      </w:pPr>
      <w:r>
        <w:rPr>
          <w:rFonts w:ascii="Times New Roman" w:cs="Times New Roman" w:hAnsi="Times New Roman"/>
          <w:b/>
          <w:sz w:val="52"/>
          <w:szCs w:val="52"/>
        </w:rPr>
        <w:t>диэлектрический</w:t>
      </w:r>
    </w:p>
    <w:p w14:paraId="00000008">
      <w:pPr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  <w:lang w:eastAsia="ru-RU"/>
        </w:rPr>
        <w:drawing xmlns:mc="http://schemas.openxmlformats.org/markup-compatibility/2006">
          <wp:anchor allowOverlap="1" behindDoc="1" distT="0" distB="0" distL="114300" distR="114300" layoutInCell="1" locked="0" relativeHeight="251663360" simplePos="0">
            <wp:simplePos x="0" y="0"/>
            <wp:positionH relativeFrom="column">
              <wp:posOffset>43122</wp:posOffset>
            </wp:positionH>
            <wp:positionV relativeFrom="paragraph">
              <wp:posOffset>328295</wp:posOffset>
            </wp:positionV>
            <wp:extent cx="9936480" cy="1325880"/>
            <wp:effectExtent l="0" t="0" r="0" b="0"/>
            <wp:wrapNone/>
            <wp:docPr id="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3648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000009">
      <w:pPr>
        <w:rPr>
          <w:rFonts w:ascii="Times New Roman" w:cs="Times New Roman" w:hAnsi="Times New Roman"/>
          <w:sz w:val="32"/>
          <w:szCs w:val="32"/>
        </w:rPr>
      </w:pPr>
    </w:p>
    <w:p w14:paraId="0000000A">
      <w:pPr>
        <w:jc w:val="center"/>
        <w:rPr>
          <w:rFonts w:ascii="Times New Roman" w:cs="Times New Roman" w:hAnsi="Times New Roman"/>
          <w:sz w:val="24"/>
          <w:szCs w:val="24"/>
        </w:rPr>
      </w:pPr>
    </w:p>
    <w:p w14:paraId="0000000B">
      <w:pPr>
        <w:jc w:val="center"/>
        <w:rPr>
          <w:rFonts w:ascii="Times New Roman" w:cs="Times New Roman" w:hAnsi="Times New Roman"/>
          <w:sz w:val="24"/>
          <w:szCs w:val="24"/>
        </w:rPr>
      </w:pPr>
    </w:p>
    <w:p w14:paraId="0000000C">
      <w:pPr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Инструкция по сбо</w:t>
      </w:r>
      <w:r>
        <w:rPr>
          <w:rFonts w:ascii="Times New Roman" w:cs="Times New Roman" w:hAnsi="Times New Roman"/>
          <w:sz w:val="24"/>
          <w:szCs w:val="24"/>
        </w:rPr>
        <w:t>рке</w:t>
      </w:r>
      <w:r>
        <w:rPr>
          <w:rFonts w:ascii="Times New Roman" w:cs="Times New Roman" w:hAnsi="Times New Roman"/>
          <w:sz w:val="24"/>
          <w:szCs w:val="24"/>
        </w:rPr>
        <w:t xml:space="preserve"> -</w:t>
      </w:r>
      <w:r>
        <w:rPr>
          <w:rFonts w:ascii="Times New Roman" w:cs="Times New Roman" w:hAnsi="Times New Roman"/>
          <w:sz w:val="24"/>
          <w:szCs w:val="24"/>
        </w:rPr>
        <w:t xml:space="preserve"> на обратной стороне</w:t>
      </w:r>
      <w:r>
        <w:rPr>
          <w:rFonts w:ascii="Times New Roman" w:cs="Times New Roman" w:hAnsi="Times New Roman"/>
          <w:sz w:val="24"/>
          <w:szCs w:val="24"/>
        </w:rPr>
        <w:t xml:space="preserve"> листа</w:t>
      </w:r>
    </w:p>
    <w:p w14:paraId="0000000D">
      <w:pPr>
        <w:rPr>
          <w:rFonts w:ascii="Times New Roman" w:cs="Times New Roman" w:hAnsi="Times New Roman"/>
          <w:sz w:val="32"/>
          <w:szCs w:val="32"/>
        </w:rPr>
      </w:pPr>
    </w:p>
    <w:p w14:paraId="0000000E">
      <w:pPr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br w:type="page"/>
      </w:r>
    </w:p>
    <w:p w14:paraId="0000000F">
      <w:pPr>
        <w:spacing w:after="0" w:line="240" w:lineRule="auto"/>
        <w:ind w:firstLine="56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Щуп предназначен для  поиска предметов, установленных в грунте на глубине до 0,3 м. </w:t>
      </w:r>
    </w:p>
    <w:p w14:paraId="00000010">
      <w:pPr>
        <w:spacing w:after="0" w:line="240" w:lineRule="auto"/>
        <w:ind w:firstLine="56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Щуп представляет собой диэлектрическую </w:t>
      </w:r>
      <w:r>
        <w:rPr>
          <w:rFonts w:ascii="Times New Roman" w:cs="Times New Roman" w:hAnsi="Times New Roman"/>
          <w:sz w:val="24"/>
          <w:szCs w:val="24"/>
        </w:rPr>
        <w:t xml:space="preserve">одно </w:t>
      </w:r>
      <w:r>
        <w:rPr>
          <w:rFonts w:ascii="Times New Roman" w:cs="Times New Roman" w:hAnsi="Times New Roman"/>
          <w:sz w:val="24"/>
          <w:szCs w:val="24"/>
        </w:rPr>
        <w:t>(рисунок 4)</w:t>
      </w:r>
      <w:r>
        <w:rPr>
          <w:rFonts w:ascii="Times New Roman" w:cs="Times New Roman" w:hAnsi="Times New Roman"/>
          <w:sz w:val="24"/>
          <w:szCs w:val="24"/>
        </w:rPr>
        <w:t xml:space="preserve"> или</w:t>
      </w:r>
      <w:r>
        <w:rPr>
          <w:rFonts w:ascii="Times New Roman" w:cs="Times New Roman" w:hAnsi="Times New Roman"/>
          <w:sz w:val="24"/>
          <w:szCs w:val="24"/>
        </w:rPr>
        <w:t xml:space="preserve"> двухсекционную</w:t>
      </w:r>
      <w:r>
        <w:rPr>
          <w:rFonts w:ascii="Times New Roman" w:cs="Times New Roman" w:hAnsi="Times New Roman"/>
          <w:sz w:val="24"/>
          <w:szCs w:val="24"/>
        </w:rPr>
        <w:t xml:space="preserve"> (рисунок 1)</w:t>
      </w:r>
      <w:r>
        <w:rPr>
          <w:rFonts w:ascii="Times New Roman" w:cs="Times New Roman" w:hAnsi="Times New Roman"/>
          <w:sz w:val="24"/>
          <w:szCs w:val="24"/>
        </w:rPr>
        <w:t xml:space="preserve"> штангу с закрепленным на ее конце заостренным</w:t>
      </w:r>
      <w:r>
        <w:rPr>
          <w:rFonts w:ascii="Times New Roman" w:cs="Times New Roman" w:hAnsi="Times New Roman"/>
          <w:sz w:val="24"/>
          <w:szCs w:val="24"/>
        </w:rPr>
        <w:t xml:space="preserve"> наконечником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Длина щупа</w:t>
      </w:r>
      <w:r>
        <w:rPr>
          <w:rFonts w:ascii="Times New Roman" w:cs="Times New Roman" w:hAnsi="Times New Roman"/>
          <w:sz w:val="24"/>
          <w:szCs w:val="24"/>
        </w:rPr>
        <w:t xml:space="preserve"> зависит от варианта сборки, </w:t>
      </w:r>
      <w:r>
        <w:rPr>
          <w:rFonts w:ascii="Times New Roman" w:cs="Times New Roman" w:hAnsi="Times New Roman"/>
          <w:sz w:val="24"/>
          <w:szCs w:val="24"/>
        </w:rPr>
        <w:t>при этом минимальная длина  1</w:t>
      </w:r>
      <w:r>
        <w:rPr>
          <w:rFonts w:ascii="Times New Roman" w:cs="Times New Roman" w:hAnsi="Times New Roman"/>
          <w:sz w:val="24"/>
          <w:szCs w:val="24"/>
        </w:rPr>
        <w:t xml:space="preserve"> м, а максимальная 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1,7</w:t>
      </w:r>
      <w:r>
        <w:rPr>
          <w:rFonts w:ascii="Times New Roman" w:cs="Times New Roman" w:hAnsi="Times New Roman"/>
          <w:sz w:val="24"/>
          <w:szCs w:val="24"/>
        </w:rPr>
        <w:t xml:space="preserve"> м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 w14:paraId="00000011">
      <w:pPr>
        <w:spacing w:after="0" w:line="240" w:lineRule="auto"/>
        <w:ind w:firstLine="56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Щуп поставляется в разобранном виде.</w:t>
      </w:r>
    </w:p>
    <w:p w14:paraId="00000012">
      <w:pPr>
        <w:spacing w:after="0" w:line="240" w:lineRule="auto"/>
        <w:ind w:firstLine="567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Комплект поставки:</w:t>
      </w:r>
      <w:r>
        <w:rPr>
          <w:rFonts w:ascii="Times New Roman" w:cs="Times New Roman" w:hAnsi="Times New Roman"/>
          <w:sz w:val="24"/>
          <w:szCs w:val="24"/>
        </w:rPr>
        <w:t xml:space="preserve"> ш</w:t>
      </w:r>
      <w:r>
        <w:rPr>
          <w:rFonts w:ascii="Times New Roman" w:cs="Times New Roman" w:hAnsi="Times New Roman"/>
          <w:sz w:val="24"/>
          <w:szCs w:val="24"/>
        </w:rPr>
        <w:t>танга верхняя – 1 шт.</w:t>
      </w:r>
      <w:r>
        <w:rPr>
          <w:rFonts w:ascii="Times New Roman" w:cs="Times New Roman" w:hAnsi="Times New Roman"/>
          <w:sz w:val="24"/>
          <w:szCs w:val="24"/>
        </w:rPr>
        <w:t>,  ш</w:t>
      </w:r>
      <w:r>
        <w:rPr>
          <w:rFonts w:ascii="Times New Roman" w:cs="Times New Roman" w:hAnsi="Times New Roman"/>
          <w:sz w:val="24"/>
          <w:szCs w:val="24"/>
        </w:rPr>
        <w:t>танга нижняя – 1 шт.</w:t>
      </w:r>
      <w:r>
        <w:rPr>
          <w:rFonts w:ascii="Times New Roman" w:cs="Times New Roman" w:hAnsi="Times New Roman"/>
          <w:sz w:val="24"/>
          <w:szCs w:val="24"/>
        </w:rPr>
        <w:t>,  н</w:t>
      </w:r>
      <w:r>
        <w:rPr>
          <w:rFonts w:ascii="Times New Roman" w:cs="Times New Roman" w:hAnsi="Times New Roman"/>
          <w:sz w:val="24"/>
          <w:szCs w:val="24"/>
        </w:rPr>
        <w:t>аконечник</w:t>
      </w:r>
      <w:r>
        <w:rPr>
          <w:rFonts w:ascii="Times New Roman" w:cs="Times New Roman" w:hAnsi="Times New Roman"/>
          <w:sz w:val="24"/>
          <w:szCs w:val="24"/>
        </w:rPr>
        <w:t xml:space="preserve"> (</w:t>
      </w:r>
      <w:r>
        <w:rPr>
          <w:rFonts w:ascii="Times New Roman" w:cs="Times New Roman" w:hAnsi="Times New Roman"/>
          <w:sz w:val="24"/>
          <w:szCs w:val="24"/>
        </w:rPr>
        <w:t>длина</w:t>
      </w:r>
      <w:r>
        <w:rPr>
          <w:rFonts w:ascii="Times New Roman" w:cs="Times New Roman" w:hAnsi="Times New Roman"/>
          <w:sz w:val="24"/>
          <w:szCs w:val="24"/>
        </w:rPr>
        <w:t xml:space="preserve"> 0,35 м)</w:t>
      </w:r>
      <w:r>
        <w:rPr>
          <w:rFonts w:ascii="Times New Roman" w:cs="Times New Roman" w:hAnsi="Times New Roman"/>
          <w:sz w:val="24"/>
          <w:szCs w:val="24"/>
        </w:rPr>
        <w:t xml:space="preserve"> – </w:t>
      </w:r>
      <w:r>
        <w:rPr>
          <w:rFonts w:ascii="Times New Roman" w:cs="Times New Roman" w:hAnsi="Times New Roman"/>
          <w:sz w:val="24"/>
          <w:szCs w:val="24"/>
        </w:rPr>
        <w:t>5</w:t>
      </w:r>
      <w:r>
        <w:rPr>
          <w:rFonts w:ascii="Times New Roman" w:cs="Times New Roman" w:hAnsi="Times New Roman"/>
          <w:sz w:val="24"/>
          <w:szCs w:val="24"/>
        </w:rPr>
        <w:t xml:space="preserve"> шт.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 w14:paraId="00000013">
      <w:pPr>
        <w:spacing w:after="0" w:line="24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</w:p>
    <w:p w14:paraId="00000014">
      <w:pPr>
        <w:spacing w:after="0" w:line="240" w:lineRule="auto"/>
        <w:ind w:firstLine="567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Инструкция по сборке</w:t>
      </w:r>
      <w:r>
        <w:rPr>
          <w:rFonts w:ascii="Times New Roman" w:cs="Times New Roman" w:hAnsi="Times New Roman"/>
          <w:b/>
          <w:sz w:val="24"/>
          <w:szCs w:val="24"/>
        </w:rPr>
        <w:t xml:space="preserve"> (</w:t>
      </w:r>
      <w:r>
        <w:rPr>
          <w:rFonts w:ascii="Times New Roman" w:cs="Times New Roman" w:hAnsi="Times New Roman"/>
          <w:b/>
          <w:sz w:val="24"/>
          <w:szCs w:val="24"/>
        </w:rPr>
        <w:t>рисунок</w:t>
      </w:r>
      <w:r>
        <w:rPr>
          <w:rFonts w:ascii="Times New Roman" w:cs="Times New Roman" w:hAnsi="Times New Roman"/>
          <w:b/>
          <w:sz w:val="24"/>
          <w:szCs w:val="24"/>
        </w:rPr>
        <w:t xml:space="preserve"> 1</w:t>
      </w:r>
      <w:r>
        <w:rPr>
          <w:rFonts w:ascii="Times New Roman" w:cs="Times New Roman" w:hAnsi="Times New Roman"/>
          <w:b/>
          <w:sz w:val="24"/>
          <w:szCs w:val="24"/>
        </w:rPr>
        <w:t>)</w:t>
      </w:r>
    </w:p>
    <w:p w14:paraId="00000015">
      <w:pPr>
        <w:pStyle w:val="ListParagraph"/>
        <w:numPr>
          <w:ilvl w:val="0"/>
          <w:numId w:val="2"/>
        </w:numPr>
        <w:spacing w:line="240" w:lineRule="auto"/>
        <w:ind w:left="851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В </w:t>
      </w:r>
      <w:r>
        <w:rPr>
          <w:rFonts w:ascii="Times New Roman" w:cs="Times New Roman" w:hAnsi="Times New Roman"/>
          <w:sz w:val="24"/>
          <w:szCs w:val="24"/>
        </w:rPr>
        <w:t xml:space="preserve">продольное </w:t>
      </w:r>
      <w:r>
        <w:rPr>
          <w:rFonts w:ascii="Times New Roman" w:cs="Times New Roman" w:hAnsi="Times New Roman"/>
          <w:sz w:val="24"/>
          <w:szCs w:val="24"/>
        </w:rPr>
        <w:t xml:space="preserve">отверстие </w:t>
      </w:r>
      <w:r>
        <w:rPr>
          <w:rFonts w:ascii="Times New Roman" w:cs="Times New Roman" w:hAnsi="Times New Roman"/>
          <w:sz w:val="24"/>
          <w:szCs w:val="24"/>
        </w:rPr>
        <w:t>гайки (1)</w:t>
      </w:r>
      <w:r>
        <w:rPr>
          <w:rFonts w:ascii="Times New Roman" w:cs="Times New Roman" w:hAnsi="Times New Roman"/>
          <w:sz w:val="24"/>
          <w:szCs w:val="24"/>
        </w:rPr>
        <w:t>, со стороны ее резьбовой части,</w:t>
      </w:r>
      <w:r>
        <w:rPr>
          <w:rFonts w:ascii="Times New Roman" w:cs="Times New Roman" w:hAnsi="Times New Roman"/>
          <w:sz w:val="24"/>
          <w:szCs w:val="24"/>
        </w:rPr>
        <w:t xml:space="preserve"> до упора</w:t>
      </w:r>
      <w:r>
        <w:rPr>
          <w:rFonts w:ascii="Times New Roman" w:cs="Times New Roman" w:hAnsi="Times New Roman"/>
          <w:sz w:val="24"/>
          <w:szCs w:val="24"/>
        </w:rPr>
        <w:t xml:space="preserve"> вставить наконечник</w:t>
      </w:r>
      <w:r>
        <w:rPr>
          <w:rFonts w:ascii="Times New Roman" w:cs="Times New Roman" w:hAnsi="Times New Roman"/>
          <w:sz w:val="24"/>
          <w:szCs w:val="24"/>
        </w:rPr>
        <w:t xml:space="preserve"> (2)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Если наконечник туго вставляется в отверстие</w:t>
      </w:r>
      <w:r>
        <w:rPr>
          <w:rFonts w:ascii="Times New Roman" w:cs="Times New Roman" w:hAnsi="Times New Roman"/>
          <w:sz w:val="24"/>
          <w:szCs w:val="24"/>
        </w:rPr>
        <w:t xml:space="preserve"> гайки, то </w:t>
      </w:r>
      <w:r>
        <w:rPr>
          <w:rFonts w:ascii="Times New Roman" w:cs="Times New Roman" w:hAnsi="Times New Roman"/>
          <w:sz w:val="24"/>
          <w:szCs w:val="24"/>
        </w:rPr>
        <w:t>удерживая рукой гайку наносить</w:t>
      </w:r>
      <w:r>
        <w:rPr>
          <w:rFonts w:ascii="Times New Roman" w:cs="Times New Roman" w:hAnsi="Times New Roman"/>
          <w:sz w:val="24"/>
          <w:szCs w:val="24"/>
        </w:rPr>
        <w:t xml:space="preserve"> легкие удары </w:t>
      </w:r>
      <w:r>
        <w:rPr>
          <w:rFonts w:ascii="Times New Roman" w:cs="Times New Roman" w:hAnsi="Times New Roman"/>
          <w:sz w:val="24"/>
          <w:szCs w:val="24"/>
        </w:rPr>
        <w:t xml:space="preserve">по тупому концу наконечника </w:t>
      </w:r>
      <w:r>
        <w:rPr>
          <w:rFonts w:ascii="Times New Roman" w:cs="Times New Roman" w:hAnsi="Times New Roman"/>
          <w:sz w:val="24"/>
          <w:szCs w:val="24"/>
        </w:rPr>
        <w:t>пока он не займет нужное положение (рисунок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От руки, не прикладывая чрезмерного усилия,  </w:t>
      </w:r>
      <w:r>
        <w:rPr>
          <w:rFonts w:ascii="Times New Roman" w:cs="Times New Roman" w:hAnsi="Times New Roman"/>
          <w:sz w:val="24"/>
          <w:szCs w:val="24"/>
        </w:rPr>
        <w:t xml:space="preserve">до упора </w:t>
      </w:r>
      <w:r>
        <w:rPr>
          <w:rFonts w:ascii="Times New Roman" w:cs="Times New Roman" w:hAnsi="Times New Roman"/>
          <w:sz w:val="24"/>
          <w:szCs w:val="24"/>
        </w:rPr>
        <w:t>на</w:t>
      </w:r>
      <w:r>
        <w:rPr>
          <w:rFonts w:ascii="Times New Roman" w:cs="Times New Roman" w:hAnsi="Times New Roman"/>
          <w:sz w:val="24"/>
          <w:szCs w:val="24"/>
        </w:rPr>
        <w:t xml:space="preserve">крутить </w:t>
      </w:r>
      <w:r>
        <w:rPr>
          <w:rFonts w:ascii="Times New Roman" w:cs="Times New Roman" w:hAnsi="Times New Roman"/>
          <w:sz w:val="24"/>
          <w:szCs w:val="24"/>
        </w:rPr>
        <w:t xml:space="preserve"> гайку</w:t>
      </w:r>
      <w:r>
        <w:rPr>
          <w:rFonts w:ascii="Times New Roman" w:cs="Times New Roman" w:hAnsi="Times New Roman"/>
          <w:sz w:val="24"/>
          <w:szCs w:val="24"/>
        </w:rPr>
        <w:t xml:space="preserve"> (1)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с установленным наконечником (2</w:t>
      </w:r>
      <w:r>
        <w:rPr>
          <w:rFonts w:ascii="Times New Roman" w:cs="Times New Roman" w:hAnsi="Times New Roman"/>
          <w:sz w:val="24"/>
          <w:szCs w:val="24"/>
        </w:rPr>
        <w:t xml:space="preserve">), </w:t>
      </w:r>
      <w:r>
        <w:rPr>
          <w:rFonts w:ascii="Times New Roman" w:cs="Times New Roman" w:hAnsi="Times New Roman"/>
          <w:sz w:val="24"/>
          <w:szCs w:val="24"/>
        </w:rPr>
        <w:t xml:space="preserve"> на штангу</w:t>
      </w:r>
      <w:r>
        <w:rPr>
          <w:rFonts w:ascii="Times New Roman" w:cs="Times New Roman" w:hAnsi="Times New Roman"/>
          <w:sz w:val="24"/>
          <w:szCs w:val="24"/>
        </w:rPr>
        <w:t xml:space="preserve"> (3)</w:t>
      </w:r>
      <w:r>
        <w:rPr>
          <w:rFonts w:ascii="Times New Roman" w:cs="Times New Roman" w:hAnsi="Times New Roman"/>
          <w:sz w:val="24"/>
          <w:szCs w:val="24"/>
        </w:rPr>
        <w:t>.</w:t>
      </w:r>
    </w:p>
    <w:p w14:paraId="00000016">
      <w:pPr>
        <w:pStyle w:val="ListParagraph"/>
        <w:numPr>
          <w:ilvl w:val="0"/>
          <w:numId w:val="2"/>
        </w:numPr>
        <w:spacing w:line="240" w:lineRule="auto"/>
        <w:ind w:left="851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Свинтить</w:t>
      </w:r>
      <w:r>
        <w:rPr>
          <w:rFonts w:ascii="Times New Roman" w:cs="Times New Roman" w:hAnsi="Times New Roman"/>
          <w:sz w:val="24"/>
          <w:szCs w:val="24"/>
        </w:rPr>
        <w:t>, не прикладывая чрезмерного усилия,</w:t>
      </w:r>
      <w:r>
        <w:rPr>
          <w:rFonts w:ascii="Times New Roman" w:cs="Times New Roman" w:hAnsi="Times New Roman"/>
          <w:sz w:val="24"/>
          <w:szCs w:val="24"/>
        </w:rPr>
        <w:t xml:space="preserve"> нижнюю</w:t>
      </w:r>
      <w:r>
        <w:rPr>
          <w:rFonts w:ascii="Times New Roman" w:cs="Times New Roman" w:hAnsi="Times New Roman"/>
          <w:sz w:val="24"/>
          <w:szCs w:val="24"/>
        </w:rPr>
        <w:t xml:space="preserve"> (3)</w:t>
      </w:r>
      <w:r>
        <w:rPr>
          <w:rFonts w:ascii="Times New Roman" w:cs="Times New Roman" w:hAnsi="Times New Roman"/>
          <w:sz w:val="24"/>
          <w:szCs w:val="24"/>
        </w:rPr>
        <w:t xml:space="preserve"> и верхнюю</w:t>
      </w:r>
      <w:r>
        <w:rPr>
          <w:rFonts w:ascii="Times New Roman" w:cs="Times New Roman" w:hAnsi="Times New Roman"/>
          <w:sz w:val="24"/>
          <w:szCs w:val="24"/>
        </w:rPr>
        <w:t xml:space="preserve"> (4)</w:t>
      </w:r>
      <w:r>
        <w:rPr>
          <w:rFonts w:ascii="Times New Roman" w:cs="Times New Roman" w:hAnsi="Times New Roman"/>
          <w:sz w:val="24"/>
          <w:szCs w:val="24"/>
        </w:rPr>
        <w:t xml:space="preserve"> штанги от руки до упора. </w:t>
      </w:r>
    </w:p>
    <w:p w14:paraId="00000017">
      <w:pPr>
        <w:pStyle w:val="ListParagraph"/>
        <w:numPr>
          <w:ilvl w:val="0"/>
          <w:numId w:val="2"/>
        </w:numPr>
        <w:spacing w:line="240" w:lineRule="auto"/>
        <w:ind w:left="851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При необходимости отрегулировать </w:t>
      </w:r>
      <w:r>
        <w:rPr>
          <w:rFonts w:ascii="Times New Roman" w:cs="Times New Roman" w:hAnsi="Times New Roman"/>
          <w:sz w:val="24"/>
          <w:szCs w:val="24"/>
        </w:rPr>
        <w:t>длину темляка</w:t>
      </w:r>
      <w:r>
        <w:rPr>
          <w:rFonts w:ascii="Times New Roman" w:cs="Times New Roman" w:hAnsi="Times New Roman"/>
          <w:sz w:val="24"/>
          <w:szCs w:val="24"/>
        </w:rPr>
        <w:t xml:space="preserve"> (5)</w:t>
      </w:r>
      <w:r>
        <w:rPr>
          <w:rFonts w:ascii="Times New Roman" w:cs="Times New Roman" w:hAnsi="Times New Roman"/>
          <w:sz w:val="24"/>
          <w:szCs w:val="24"/>
        </w:rPr>
        <w:t xml:space="preserve"> рукоятки</w:t>
      </w:r>
      <w:r>
        <w:rPr>
          <w:rFonts w:ascii="Times New Roman" w:cs="Times New Roman" w:hAnsi="Times New Roman"/>
          <w:sz w:val="24"/>
          <w:szCs w:val="24"/>
        </w:rPr>
        <w:t xml:space="preserve"> (6).</w:t>
      </w:r>
    </w:p>
    <w:p w14:paraId="00000018">
      <w:pPr>
        <w:pStyle w:val="ListParagraph"/>
        <w:numPr>
          <w:ilvl w:val="1"/>
          <w:numId w:val="2"/>
        </w:numPr>
        <w:spacing w:line="240" w:lineRule="auto"/>
        <w:ind w:left="1134" w:hanging="283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Достать пластмассовый клин</w:t>
      </w:r>
      <w:r>
        <w:rPr>
          <w:rFonts w:ascii="Times New Roman" w:cs="Times New Roman" w:hAnsi="Times New Roman"/>
          <w:sz w:val="24"/>
          <w:szCs w:val="24"/>
        </w:rPr>
        <w:t xml:space="preserve"> (7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</w:rPr>
        <w:t xml:space="preserve"> из верхнего торца рукоятки.</w:t>
      </w:r>
    </w:p>
    <w:p w14:paraId="00000019">
      <w:pPr>
        <w:pStyle w:val="ListParagraph"/>
        <w:numPr>
          <w:ilvl w:val="1"/>
          <w:numId w:val="2"/>
        </w:numPr>
        <w:spacing w:line="240" w:lineRule="auto"/>
        <w:ind w:left="1134" w:hanging="283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Отрегулировать  длину  петли темляка.</w:t>
      </w:r>
    </w:p>
    <w:p w14:paraId="0000001A">
      <w:pPr>
        <w:pStyle w:val="ListParagraph"/>
        <w:numPr>
          <w:ilvl w:val="1"/>
          <w:numId w:val="2"/>
        </w:numPr>
        <w:spacing w:line="240" w:lineRule="auto"/>
        <w:ind w:left="1134" w:hanging="283"/>
        <w:jc w:val="both"/>
        <w:rPr>
          <w:rFonts w:ascii="Times New Roman" w:cs="Times New Roman" w:hAnsi="Times New Roman"/>
          <w:sz w:val="24"/>
          <w:szCs w:val="24"/>
        </w:rPr>
      </w:pPr>
      <w:r>
        <w:rPr>
          <w:lang w:eastAsia="ru-RU"/>
        </w:rPr>
        <mc:AlternateContent>
          <mc:Choice Requires="wpg">
            <w:drawing xmlns:mc="http://schemas.openxmlformats.org/markup-compatibility/2006">
              <wp:anchor allowOverlap="1" behindDoc="0" distT="0" distB="0" distL="114300" distR="114300" layoutInCell="1" locked="0" relativeHeight="251667456" simplePos="0">
                <wp:simplePos x="0" y="0"/>
                <wp:positionH relativeFrom="column">
                  <wp:posOffset>1238192</wp:posOffset>
                </wp:positionH>
                <wp:positionV relativeFrom="paragraph">
                  <wp:posOffset>150495</wp:posOffset>
                </wp:positionV>
                <wp:extent cx="7673340" cy="1532255"/>
                <wp:effectExtent l="0" t="0" r="0" b="0"/>
                <wp:wrapNone/>
                <wp:docPr id="4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Pr id="2" name="Группа 2"/>
                      <wpg:cNvGrpSpPr/>
                      <wpg:grpSpPr>
                        <a:xfrm>
                          <a:off x="0" y="0"/>
                          <a:ext cx="7673340" cy="1532255"/>
                          <a:chOff x="0" y="0"/>
                          <a:chExt cx="8410575" cy="1844675"/>
                        </a:xfrm>
                      </wpg:grpSpPr>
                      <pic:pic xmlns:pic="http://schemas.openxmlformats.org/drawingml/2006/picture">
                        <pic:nvPicPr>
                          <pic:cNvPr id="3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647700"/>
                            <a:ext cx="8255000" cy="939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"/>
                        <wps:cNvSpPr/>
                        <wps:spPr>
                          <a:xfrm>
                            <a:off x="1860550" y="6350"/>
                            <a:ext cx="921385" cy="784225"/>
                          </a:xfrm>
                          <a:prstGeom prst="callout1">
                            <a:avLst>
                              <a:gd name="adj1" fmla="val 46905"/>
                              <a:gd name="adj2" fmla="val -6680"/>
                              <a:gd name="adj3" fmla="val 101297"/>
                              <a:gd name="adj4" fmla="val -49776"/>
                            </a:avLst>
                          </a:prstGeom>
                          <a:noFill/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 id="0">
                          <w:txbxContent>
                            <w:p w14:paraId="0000001B">
                              <w:pPr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  <w:t>1</w:t>
                              </w:r>
                            </w:p>
                          </w:txbxContent>
                        </wps:txbx>
                        <wps:bodyPr vertOverflow="overflow" horzOverflow="overflow" vert="horz" wrap="square" lIns="0" tIns="0" rIns="0" bIns="0" rtlCol="0" anchor="ctr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>
                          <a:xfrm>
                            <a:off x="730250" y="0"/>
                            <a:ext cx="391795" cy="784225"/>
                          </a:xfrm>
                          <a:prstGeom prst="callout1">
                            <a:avLst>
                              <a:gd name="adj1" fmla="val 46905"/>
                              <a:gd name="adj2" fmla="val -6680"/>
                              <a:gd name="adj3" fmla="val 119969"/>
                              <a:gd name="adj4" fmla="val -90262"/>
                            </a:avLst>
                          </a:prstGeom>
                          <a:noFill/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 id="1">
                          <w:txbxContent>
                            <w:p w14:paraId="0000001C">
                              <w:pPr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vertOverflow="overflow" horzOverflow="overflow" vert="horz" wrap="square" lIns="0" tIns="0" rIns="0" bIns="0" rtlCol="0" anchor="ctr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>
                          <a:xfrm>
                            <a:off x="3924300" y="0"/>
                            <a:ext cx="921385" cy="784225"/>
                          </a:xfrm>
                          <a:prstGeom prst="callout1">
                            <a:avLst>
                              <a:gd name="adj1" fmla="val 46905"/>
                              <a:gd name="adj2" fmla="val -6680"/>
                              <a:gd name="adj3" fmla="val 112500"/>
                              <a:gd name="adj4" fmla="val -38333"/>
                            </a:avLst>
                          </a:prstGeom>
                          <a:noFill/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 id="2">
                          <w:txbxContent>
                            <w:p w14:paraId="0000001D">
                              <w:pPr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  <w:t>3</w:t>
                              </w:r>
                            </w:p>
                          </w:txbxContent>
                        </wps:txbx>
                        <wps:bodyPr vertOverflow="overflow" horzOverflow="overflow" vert="horz" wrap="square" lIns="0" tIns="0" rIns="0" bIns="0" rtlCol="0" anchor="ctr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>
                          <a:xfrm>
                            <a:off x="6673850" y="19050"/>
                            <a:ext cx="438785" cy="784225"/>
                          </a:xfrm>
                          <a:prstGeom prst="callout1">
                            <a:avLst>
                              <a:gd name="adj1" fmla="val 46905"/>
                              <a:gd name="adj2" fmla="val -6680"/>
                              <a:gd name="adj3" fmla="val 113994"/>
                              <a:gd name="adj4" fmla="val -74349"/>
                            </a:avLst>
                          </a:prstGeom>
                          <a:noFill/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 id="3">
                          <w:txbxContent>
                            <w:p w14:paraId="0000001E">
                              <w:pPr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  <w:t>4</w:t>
                              </w:r>
                            </w:p>
                          </w:txbxContent>
                        </wps:txbx>
                        <wps:bodyPr vertOverflow="overflow" horzOverflow="overflow" vert="horz" wrap="square" lIns="0" tIns="0" rIns="0" bIns="0" rtlCol="0" anchor="ctr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>
                          <a:xfrm flipH="1">
                            <a:off x="6057900" y="1060450"/>
                            <a:ext cx="563245" cy="784225"/>
                          </a:xfrm>
                          <a:prstGeom prst="callout1">
                            <a:avLst>
                              <a:gd name="adj1" fmla="val 46905"/>
                              <a:gd name="adj2" fmla="val -6680"/>
                              <a:gd name="adj3" fmla="val 48125"/>
                              <a:gd name="adj4" fmla="val -65079"/>
                            </a:avLst>
                          </a:prstGeom>
                          <a:noFill/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 id="4">
                          <w:txbxContent>
                            <w:p w14:paraId="0000001F">
                              <w:pPr>
                                <w:jc w:val="right"/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  <w:t>5</w:t>
                              </w:r>
                            </w:p>
                          </w:txbxContent>
                        </wps:txbx>
                        <wps:bodyPr vertOverflow="overflow" horzOverflow="overflow" vert="horz" wrap="square" lIns="0" tIns="0" rIns="0" bIns="0" rtlCol="0" anchor="ctr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>
                          <a:xfrm>
                            <a:off x="7302500" y="19050"/>
                            <a:ext cx="304165" cy="784225"/>
                          </a:xfrm>
                          <a:prstGeom prst="callout1">
                            <a:avLst>
                              <a:gd name="adj1" fmla="val 46905"/>
                              <a:gd name="adj2" fmla="val -6680"/>
                              <a:gd name="adj3" fmla="val 111006"/>
                              <a:gd name="adj4" fmla="val -103718"/>
                            </a:avLst>
                          </a:prstGeom>
                          <a:noFill/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 id="5">
                          <w:txbxContent>
                            <w:p w14:paraId="00000020">
                              <w:pPr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vertOverflow="overflow" horzOverflow="overflow" vert="horz" wrap="square" lIns="0" tIns="0" rIns="0" bIns="0" rtlCol="0" anchor="ctr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>
                          <a:xfrm>
                            <a:off x="7969250" y="6350"/>
                            <a:ext cx="441325" cy="784225"/>
                          </a:xfrm>
                          <a:prstGeom prst="callout1">
                            <a:avLst>
                              <a:gd name="adj1" fmla="val 46905"/>
                              <a:gd name="adj2" fmla="val -6680"/>
                              <a:gd name="adj3" fmla="val 129003"/>
                              <a:gd name="adj4" fmla="val -31357"/>
                            </a:avLst>
                          </a:prstGeom>
                          <a:noFill/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 id="6">
                          <w:txbxContent>
                            <w:p w14:paraId="00000021">
                              <w:pPr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cs="Times New Roman" w:hAnsi="Times New Roman"/>
                                  <w:sz w:val="36"/>
                                  <w:szCs w:val="36"/>
                                </w:rPr>
                                <w:t>7</w:t>
                              </w:r>
                            </w:p>
                          </w:txbxContent>
                        </wps:txbx>
                        <wps:bodyPr vertOverflow="overflow" horzOverflow="overflow" vert="horz" wrap="square" lIns="0" tIns="0" rIns="0" bIns="0" rtlCol="0" anchor="ctr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>
                          <a:xfrm>
                            <a:off x="1847850" y="1149349"/>
                            <a:ext cx="1892300" cy="501914"/>
                          </a:xfrm>
                          <a:prstGeom prst="callout1">
                            <a:avLst>
                              <a:gd name="adj1" fmla="val 50639"/>
                              <a:gd name="adj2" fmla="val -958"/>
                              <a:gd name="adj3" fmla="val -35571"/>
                              <a:gd name="adj4" fmla="val -25050"/>
                            </a:avLst>
                          </a:prstGeom>
                          <a:noFill/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 id="7">
                          <w:txbxContent>
                            <w:p w14:paraId="00000022">
                              <w:pPr>
                                <w:rPr>
                                  <w:rFonts w:ascii="Times New Roman" w:cs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cs="Times New Roman" w:hAnsi="Times New Roman"/>
                                  <w:sz w:val="24"/>
                                  <w:szCs w:val="24"/>
                                </w:rPr>
                                <w:t>Гайка показана условно прозрачной</w:t>
                              </w:r>
                            </w:p>
                          </w:txbxContent>
                        </wps:txbx>
                        <wps:bodyPr vertOverflow="overflow" horzOverflow="overflow" vert="horz" wrap="square" lIns="0" tIns="0" rIns="0" bIns="0" rtlCol="0" anchor="ctr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A5885979-B66C-E1B6-803E32DA37DA" coordsize="7673340,1532255" style="position:absolute;width:604.2pt;height:120.65pt;mso-width-percent:0;mso-width-relative:margin;mso-height-percent:0;mso-height-relative:margin;margin-top:11.85pt;margin-left:97.4954pt;mso-wrap-distance-left:9pt;mso-wrap-distance-right:9pt;mso-wrap-distance-top:0pt;mso-wrap-distance-bottom:0pt;rotation:0.000000;z-index:251667456;">
                <v:rect id="EF6B6FF6-47D7-46D9-A66955380780" style="width:8255000;height:939800;left:0;top:647700;rotation:0.000000;" stroked="f" o:spt="75">
                  <v:imagedata r:id="rId15" o:title=""/>
                  <o:lock/>
                </v:rect>
                <v:shape id="6F3020B1-66D3-F28F-1E185458AEE1" adj="-10752,21880,-1443,10131" coordsize="21600,21600" style="width:921385;height:784225;left:1860550;top:6350;rotation:0.000000;" strokecolor="#000000" strokeweight="0.75pt" o:spt="41" path="m@0,@1 l@2,@3 nf e m0,0 l21600,0 r0,21600 l0,21600 ns x e">
                  <v:stroke/>
                  <v:formulas>
                    <v:f eqn="val #0"/>
                    <v:f eqn="val #1"/>
                    <v:f eqn="val #2"/>
                    <v:f eqn="val #3"/>
                  </v:formulas>
                  <v:handles>
                    <v:h position="#0,#1"/>
                    <v:h position="#2,#3"/>
                  </v:handles>
                  <o:lock/>
                </v:shape>
                <v:shape id="64736D67-DD39-6713-C2FE71CC4E79" adj="-19497,25913,-1443,10131" coordsize="21600,21600" style="width:391795;height:784225;left:730250;top:0;rotation:0.000000;" strokecolor="#000000" strokeweight="0.75pt" o:spt="41" path="m@0,@1 l@2,@3 nf e m0,0 l21600,0 r0,21600 l0,21600 ns x e">
                  <v:stroke/>
                  <v:formulas>
                    <v:f eqn="val #0"/>
                    <v:f eqn="val #1"/>
                    <v:f eqn="val #2"/>
                    <v:f eqn="val #3"/>
                  </v:formulas>
                  <v:handles>
                    <v:h position="#0,#1"/>
                    <v:h position="#2,#3"/>
                  </v:handles>
                  <o:lock/>
                </v:shape>
                <v:shape id="004B1192-3BAA-74DE-C6D843459CE2" adj="-8280,24300,-1443,10131" coordsize="21600,21600" style="width:921385;height:784225;left:3924300;top:0;rotation:0.000000;" strokecolor="#000000" strokeweight="0.75pt" o:spt="41" path="m@0,@1 l@2,@3 nf e m0,0 l21600,0 r0,21600 l0,21600 ns x e">
                  <v:stroke/>
                  <v:formulas>
                    <v:f eqn="val #0"/>
                    <v:f eqn="val #1"/>
                    <v:f eqn="val #2"/>
                    <v:f eqn="val #3"/>
                  </v:formulas>
                  <v:handles>
                    <v:h position="#0,#1"/>
                    <v:h position="#2,#3"/>
                  </v:handles>
                  <o:lock/>
                </v:shape>
                <v:shape id="C6573DAF-5795-4C59-1A370CF3B417" adj="-16059,24623,-1443,10131" coordsize="21600,21600" style="width:438785;height:784225;left:6673850;top:19050;rotation:0.000000;" strokecolor="#000000" strokeweight="0.75pt" o:spt="41" path="m@0,@1 l@2,@3 nf e m0,0 l21600,0 r0,21600 l0,21600 ns x e">
                  <v:stroke/>
                  <v:formulas>
                    <v:f eqn="val #0"/>
                    <v:f eqn="val #1"/>
                    <v:f eqn="val #2"/>
                    <v:f eqn="val #3"/>
                  </v:formulas>
                  <v:handles>
                    <v:h position="#0,#1"/>
                    <v:h position="#2,#3"/>
                  </v:handles>
                  <o:lock/>
                </v:shape>
                <v:shape id="C38D7412-C1EC-069E-B4F530BA293C" adj="-14057,10395,-1443,10131" coordsize="21600,21600" style="flip:x;width:563245;height:784225;left:6057900;top:1060450;rotation:0.000000;" strokecolor="#000000" strokeweight="0.75pt" o:spt="41" path="m@0,@1 l@2,@3 nf e m0,0 l21600,0 r0,21600 l0,21600 ns x e">
                  <v:stroke/>
                  <v:formulas>
                    <v:f eqn="val #0"/>
                    <v:f eqn="val #1"/>
                    <v:f eqn="val #2"/>
                    <v:f eqn="val #3"/>
                  </v:formulas>
                  <v:handles>
                    <v:h position="#0,#1"/>
                    <v:h position="#2,#3"/>
                  </v:handles>
                  <o:lock/>
                </v:shape>
                <v:shape id="712FB7CE-1505-1355-7A03ABEB861B" adj="-22403,23977,-1443,10131" coordsize="21600,21600" style="width:304165;height:784225;left:7302500;top:19050;rotation:0.000000;" strokecolor="#000000" strokeweight="0.75pt" o:spt="41" path="m@0,@1 l@2,@3 nf e m0,0 l21600,0 r0,21600 l0,21600 ns x e">
                  <v:stroke/>
                  <v:formulas>
                    <v:f eqn="val #0"/>
                    <v:f eqn="val #1"/>
                    <v:f eqn="val #2"/>
                    <v:f eqn="val #3"/>
                  </v:formulas>
                  <v:handles>
                    <v:h position="#0,#1"/>
                    <v:h position="#2,#3"/>
                  </v:handles>
                  <o:lock/>
                </v:shape>
                <v:shape id="8BFB18C0-639E-D3BA-8AE436F3C6FC" adj="-6773,27865,-1443,10131" coordsize="21600,21600" style="width:441325;height:784225;left:7969250;top:6350;rotation:0.000000;" strokecolor="#000000" strokeweight="0.75pt" o:spt="41" path="m@0,@1 l@2,@3 nf e m0,0 l21600,0 r0,21600 l0,21600 ns x e">
                  <v:stroke/>
                  <v:formulas>
                    <v:f eqn="val #0"/>
                    <v:f eqn="val #1"/>
                    <v:f eqn="val #2"/>
                    <v:f eqn="val #3"/>
                  </v:formulas>
                  <v:handles>
                    <v:h position="#0,#1"/>
                    <v:h position="#2,#3"/>
                  </v:handles>
                  <o:lock/>
                </v:shape>
                <v:shape id="3AFCCF6C-4E73-58C8-380931241602" adj="-5411,-7683,-207,10938" coordsize="21600,21600" style="width:1892300;height:501914;left:1847850;top:1149349;rotation:0.000000;" strokecolor="#000000" strokeweight="0.75pt" o:spt="41" path="m@0,@1 l@2,@3 nf e m0,0 l21600,0 r0,21600 l0,21600 ns x e">
                  <v:stroke/>
                  <v:formulas>
                    <v:f eqn="val #0"/>
                    <v:f eqn="val #1"/>
                    <v:f eqn="val #2"/>
                    <v:f eqn="val #3"/>
                  </v:formulas>
                  <v:handles>
                    <v:h position="#0,#1"/>
                    <v:h position="#2,#3"/>
                  </v:handles>
                  <o:lock/>
                </v:shape>
                <w10:wrap side="both"/>
                <o:lock/>
              </v:group>
            </w:pict>
          </mc:Fallback>
        </mc:AlternateContent>
      </w:r>
      <w:r>
        <w:rPr>
          <w:rFonts w:ascii="Times New Roman" w:cs="Times New Roman" w:hAnsi="Times New Roman"/>
          <w:sz w:val="24"/>
          <w:szCs w:val="24"/>
        </w:rPr>
        <w:t xml:space="preserve">Вставить пластмассовый клин в </w:t>
      </w:r>
      <w:r>
        <w:rPr>
          <w:rFonts w:ascii="Times New Roman" w:cs="Times New Roman" w:hAnsi="Times New Roman"/>
          <w:sz w:val="24"/>
          <w:szCs w:val="24"/>
        </w:rPr>
        <w:t>рукоятку</w:t>
      </w:r>
      <w:r>
        <w:rPr>
          <w:rFonts w:ascii="Times New Roman" w:cs="Times New Roman" w:hAnsi="Times New Roman"/>
          <w:sz w:val="24"/>
          <w:szCs w:val="24"/>
        </w:rPr>
        <w:t xml:space="preserve"> до упора</w:t>
      </w:r>
      <w:r>
        <w:rPr>
          <w:rFonts w:ascii="Tahoma" w:cs="Tahoma" w:eastAsia="Times New Roman" w:hAnsi="Tahoma"/>
          <w:color w:val="222222"/>
          <w:sz w:val="24"/>
          <w:szCs w:val="24"/>
          <w:lang w:eastAsia="ru-RU"/>
        </w:rPr>
        <w:t>.</w:t>
      </w:r>
    </w:p>
    <w:p w14:paraId="00000023">
      <w:pPr>
        <w:pStyle w:val="ListParagraph"/>
        <w:ind w:left="1134"/>
        <w:jc w:val="both"/>
        <w:rPr>
          <w:rFonts w:ascii="Times New Roman" w:cs="Times New Roman" w:hAnsi="Times New Roman"/>
          <w:sz w:val="24"/>
          <w:szCs w:val="24"/>
        </w:rPr>
      </w:pPr>
    </w:p>
    <w:p w14:paraId="00000024">
      <w:pPr>
        <w:pStyle w:val="ListParagraph"/>
        <w:ind w:left="1134"/>
        <w:jc w:val="both"/>
        <w:rPr>
          <w:rFonts w:ascii="Times New Roman" w:cs="Times New Roman" w:hAnsi="Times New Roman"/>
          <w:sz w:val="24"/>
          <w:szCs w:val="24"/>
        </w:rPr>
      </w:pPr>
    </w:p>
    <w:p w14:paraId="00000025">
      <w:pPr>
        <w:pStyle w:val="ListParagraph"/>
        <w:ind w:left="1134"/>
        <w:jc w:val="both"/>
        <w:rPr>
          <w:rFonts w:ascii="Times New Roman" w:cs="Times New Roman" w:hAnsi="Times New Roman"/>
          <w:sz w:val="24"/>
          <w:szCs w:val="24"/>
        </w:rPr>
      </w:pPr>
    </w:p>
    <w:p w14:paraId="00000026">
      <w:pPr>
        <w:pStyle w:val="ListParagraph"/>
        <w:ind w:left="1134"/>
        <w:jc w:val="both"/>
        <w:rPr>
          <w:rFonts w:ascii="Times New Roman" w:cs="Times New Roman" w:hAnsi="Times New Roman"/>
          <w:sz w:val="24"/>
          <w:szCs w:val="24"/>
        </w:rPr>
      </w:pPr>
    </w:p>
    <w:p w14:paraId="00000027">
      <w:pPr>
        <w:pStyle w:val="ListParagraph"/>
        <w:ind w:left="1134"/>
        <w:jc w:val="both"/>
        <w:rPr>
          <w:rFonts w:ascii="Times New Roman" w:cs="Times New Roman" w:hAnsi="Times New Roman"/>
          <w:sz w:val="24"/>
          <w:szCs w:val="24"/>
        </w:rPr>
      </w:pPr>
    </w:p>
    <w:p w14:paraId="00000028">
      <w:pPr>
        <w:pStyle w:val="ListParagraph"/>
        <w:ind w:left="1134"/>
        <w:jc w:val="both"/>
        <w:rPr>
          <w:rFonts w:ascii="Times New Roman" w:cs="Times New Roman" w:hAnsi="Times New Roman"/>
          <w:sz w:val="24"/>
          <w:szCs w:val="24"/>
        </w:rPr>
      </w:pPr>
    </w:p>
    <w:p w14:paraId="00000029">
      <w:pPr>
        <w:pStyle w:val="ListParagraph"/>
        <w:ind w:left="1134"/>
        <w:jc w:val="both"/>
        <w:rPr>
          <w:rFonts w:ascii="Times New Roman" w:cs="Times New Roman" w:hAnsi="Times New Roman"/>
          <w:sz w:val="24"/>
          <w:szCs w:val="24"/>
        </w:rPr>
      </w:pPr>
    </w:p>
    <w:p w14:paraId="0000002A">
      <w:pPr>
        <w:pStyle w:val="ListParagraph"/>
        <w:ind w:left="1134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Рисунок 1 –</w:t>
      </w:r>
      <w:r>
        <w:rPr>
          <w:rFonts w:ascii="Times New Roman" w:cs="Times New Roman" w:hAnsi="Times New Roman"/>
          <w:sz w:val="24"/>
          <w:szCs w:val="24"/>
        </w:rPr>
        <w:t>Щуп, состоящий из двух штанг</w:t>
      </w:r>
    </w:p>
    <w:p w14:paraId="0000002B">
      <w:pPr>
        <w:pStyle w:val="ListParagraph"/>
        <w:ind w:left="1134"/>
        <w:jc w:val="center"/>
        <w:rPr>
          <w:rFonts w:ascii="Times New Roman" w:cs="Times New Roman" w:hAnsi="Times New Roman"/>
          <w:sz w:val="24"/>
          <w:szCs w:val="24"/>
        </w:rPr>
      </w:pPr>
    </w:p>
    <w:tbl>
      <w:tblPr>
        <w:tblStyle w:val="TableGrid"/>
        <w:tblW w:w="0" w:type="auto"/>
        <w:tblInd w:w="1134" w:type="dxa"/>
        <w:tblBorders>
          <w:top w:val="none" w:sz="4" w:space="0"/>
          <w:left w:val="none" w:sz="4" w:space="0"/>
          <w:bottom w:val="none" w:sz="4" w:space="0"/>
          <w:right w:val="none" w:sz="4" w:space="0"/>
          <w:insideH w:val="none" w:sz="4" w:space="0"/>
          <w:insideV w:val="none" w:sz="4" w:space="0"/>
        </w:tblBorders>
        <w:tblLook w:val="04A0"/>
      </w:tblPr>
      <w:tblGrid>
        <w:gridCol w:w="3391"/>
        <w:gridCol w:w="3050"/>
        <w:gridCol w:w="8241"/>
      </w:tblGrid>
      <w:tr>
        <w:trPr>
          <w:trHeight w:val="1123"/>
        </w:trPr>
        <w:tc>
          <w:tcPr>
            <w:cnfStyle w:val="101000000000"/>
            <w:tcW w:w="3415" w:type="dxa"/>
          </w:tcPr>
          <w:p w14:paraId="0000002C">
            <w:pPr>
              <w:pStyle w:val="ListParagraph"/>
              <w:ind w:left="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lang w:eastAsia="ru-RU"/>
              </w:rPr>
              <mc:AlternateContent>
                <mc:Choice Requires="wpg">
                  <w:drawing xmlns:mc="http://schemas.openxmlformats.org/markup-compatibility/2006">
                    <wp:anchor allowOverlap="1" behindDoc="0" distT="0" distB="0" distL="114300" distR="114300" layoutInCell="1" locked="0" relativeHeight="251669504" simplePos="0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224155</wp:posOffset>
                      </wp:positionV>
                      <wp:extent cx="1931670" cy="1135380"/>
                      <wp:effectExtent l="0" t="0" r="0" b="0"/>
                      <wp:wrapTopAndBottom/>
                      <wp:docPr id="43" name="Группа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Pr id="39" name="Группа 39"/>
                            <wpg:cNvGrpSpPr/>
                            <wpg:grpSpPr>
                              <a:xfrm>
                                <a:off x="0" y="0"/>
                                <a:ext cx="1931670" cy="1135380"/>
                                <a:chOff x="0" y="0"/>
                                <a:chExt cx="1932132" cy="11356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" name="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07127" cy="10113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1" name=""/>
                              <wps:cNvSpPr/>
                              <wps:spPr>
                                <a:xfrm>
                                  <a:off x="1620982" y="602673"/>
                                  <a:ext cx="311150" cy="401320"/>
                                </a:xfrm>
                                <a:prstGeom prst="callout1">
                                  <a:avLst>
                                    <a:gd name="adj1" fmla="val 46905"/>
                                    <a:gd name="adj2" fmla="val -6680"/>
                                    <a:gd name="adj3" fmla="val -22984"/>
                                    <a:gd name="adj4" fmla="val -129924"/>
                                  </a:avLst>
                                </a:prstGeom>
                                <a:noFill/>
                                <a:ln w="952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 id="8">
                                <w:txbxContent>
                                  <w:p w14:paraId="0000002D">
                                    <w:pPr>
                                      <w:rPr>
                                        <w:rFonts w:ascii="Times New Roman" w:cs="Times New Roman" w:hAnsi="Times New Roman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Times New Roman" w:cs="Times New Roman" w:hAnsi="Times New Roman"/>
                                        <w:sz w:val="36"/>
                                        <w:szCs w:val="3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vertOverflow="overflow" horzOverflow="overflow" vert="horz" wrap="square" lIns="0" tIns="0" rIns="0" bIns="0" rtlCol="0" anchor="ctr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2" name=""/>
                              <wps:cNvSpPr/>
                              <wps:spPr>
                                <a:xfrm>
                                  <a:off x="955963" y="734291"/>
                                  <a:ext cx="132080" cy="401320"/>
                                </a:xfrm>
                                <a:prstGeom prst="callout1">
                                  <a:avLst>
                                    <a:gd name="adj1" fmla="val 46905"/>
                                    <a:gd name="adj2" fmla="val -6680"/>
                                    <a:gd name="adj3" fmla="val -6038"/>
                                    <a:gd name="adj4" fmla="val -294808"/>
                                  </a:avLst>
                                </a:prstGeom>
                                <a:noFill/>
                                <a:ln w="952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 id="9">
                                <w:txbxContent>
                                  <w:p w14:paraId="0000002E">
                                    <w:pPr>
                                      <w:rPr>
                                        <w:rFonts w:ascii="Times New Roman" w:cs="Times New Roman" w:hAnsi="Times New Roman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Times New Roman" w:cs="Times New Roman" w:hAnsi="Times New Roman"/>
                                        <w:sz w:val="36"/>
                                        <w:szCs w:val="36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vertOverflow="overflow" horzOverflow="overflow" vert="horz" wrap="square" lIns="0" tIns="0" rIns="0" bIns="0" rtlCol="0" anchor="ctr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36CE6ED7-1CF5-1B9C-ED2EB83BE1EF" coordsize="1931670,1135380" style="position:absolute;width:152.1pt;height:89.4pt;margin-top:17.65pt;margin-left:-2.4pt;mso-wrap-distance-left:9pt;mso-wrap-distance-right:9pt;mso-wrap-distance-top:0pt;mso-wrap-distance-bottom:0pt;rotation:0.000000;z-index:251669504;">
                      <v:rect id="6259CF46-D4F3-FEE9-704AFF298FD4" style="width:1607127;height:1011382;left:0;top:0;rotation:0.000000;" stroked="f" o:spt="75">
                        <v:imagedata r:id="rId16" o:title=""/>
                        <o:lock/>
                      </v:rect>
                      <v:shape id="2720289C-7558-FD22-E9F9AA525546" adj="-28064,-4965,-1443,10131" coordsize="21600,21600" style="width:311150;height:401320;left:1620982;top:602673;rotation:0.000000;" strokecolor="#000000" strokeweight="0.75pt" o:spt="41" path="m@0,@1 l@2,@3 nf e m0,0 l21600,0 r0,21600 l0,21600 ns x e">
                        <v:stroke/>
                        <v:formulas>
                          <v:f eqn="val #0"/>
                          <v:f eqn="val #1"/>
                          <v:f eqn="val #2"/>
                          <v:f eqn="val #3"/>
                        </v:formulas>
                        <v:handles>
                          <v:h position="#0,#1"/>
                          <v:h position="#2,#3"/>
                        </v:handles>
                        <o:lock/>
                      </v:shape>
                      <v:shape id="A3A88C91-6FE8-948A-E58F01AC3D84" adj="-63679,-1304,-1443,10131" coordsize="21600,21600" style="width:132080;height:401320;left:955963;top:734291;rotation:0.000000;" strokecolor="#000000" strokeweight="0.75pt" o:spt="41" path="m@0,@1 l@2,@3 nf e m0,0 l21600,0 r0,21600 l0,21600 ns x e">
                        <v:stroke/>
                        <v:formulas>
                          <v:f eqn="val #0"/>
                          <v:f eqn="val #1"/>
                          <v:f eqn="val #2"/>
                          <v:f eqn="val #3"/>
                        </v:formulas>
                        <v:handles>
                          <v:h position="#0,#1"/>
                          <v:h position="#2,#3"/>
                        </v:handles>
                        <o:lock/>
                      </v:shape>
                      <w10:wrap type="topAndBottom" side="both"/>
                      <o:lock/>
                    </v:group>
                  </w:pict>
                </mc:Fallback>
              </mc:AlternateContent>
            </w:r>
          </w:p>
          <w:p w14:paraId="0000002F">
            <w:pPr>
              <w:pStyle w:val="ListParagraph"/>
              <w:ind w:left="0"/>
              <w:jc w:val="both"/>
              <w:rPr>
                <w:rFonts w:ascii="Times New Roman" w:cs="Times New Roman" w:hAnsi="Times New Roman"/>
                <w:sz w:val="12"/>
                <w:szCs w:val="12"/>
              </w:rPr>
            </w:pPr>
          </w:p>
          <w:p w14:paraId="00000030">
            <w:pPr>
              <w:pStyle w:val="ListParagraph"/>
              <w:ind w:left="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Рисунок 2</w:t>
            </w:r>
          </w:p>
        </w:tc>
        <w:tc>
          <w:tcPr>
            <w:cnfStyle w:val="100000000000"/>
            <w:tcW w:w="3072" w:type="dxa"/>
          </w:tcPr>
          <w:p w14:paraId="00000031">
            <w:pPr>
              <w:pStyle w:val="ListParagraph"/>
              <w:ind w:left="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cnfStyle w:val="100000000000"/>
            <w:tcW w:w="8299" w:type="dxa"/>
          </w:tcPr>
          <w:p w14:paraId="00000032">
            <w:pPr>
              <w:pStyle w:val="ListParagraph"/>
              <w:ind w:left="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eastAsia="ru-RU"/>
              </w:rPr>
              <w:drawing xmlns:mc="http://schemas.openxmlformats.org/markup-compatibility/2006">
                <wp:inline distT="0" distB="0" distL="114300" distR="114300">
                  <wp:extent cx="4819601" cy="1011382"/>
                  <wp:effectExtent l="0" t="0" r="0" b="0"/>
                  <wp:docPr id="44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Рисунок 26"/>
                          <pic:cNvPicPr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9601" cy="1011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000033">
            <w:pPr>
              <w:pStyle w:val="ListParagraph"/>
              <w:ind w:left="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34">
            <w:pPr>
              <w:pStyle w:val="ListParagraph"/>
              <w:ind w:left="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35">
            <w:pPr>
              <w:pStyle w:val="ListParagraph"/>
              <w:ind w:left="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Рисунок 4 – Щуп, состоящий из одной штанги</w:t>
            </w:r>
          </w:p>
        </w:tc>
      </w:tr>
    </w:tbl>
    <w:p w14:paraId="00000036">
      <w:p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 w14:paraId="00000037">
      <w:pPr>
        <w:jc w:val="both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ООО “Компания “Безар-Импер”                                                                      </w:t>
        <w:tab/>
        <w:tab/>
        <w:tab/>
        <w:tab/>
        <w:tab/>
        <w:tab/>
        <w:tab/>
        <w:tab/>
        <w:t xml:space="preserve">тел. +7(495)924-30-75                                                                 </w:t>
      </w:r>
    </w:p>
    <w:p w14:paraId="00000038">
      <w:pPr>
        <w:jc w:val="both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Московская обл., г. Дед</w:t>
      </w:r>
      <w:r>
        <w:rPr>
          <w:rFonts w:ascii="Times New Roman" w:cs="Times New Roman" w:hAnsi="Times New Roman"/>
          <w:b/>
          <w:bCs/>
          <w:sz w:val="24"/>
          <w:szCs w:val="24"/>
        </w:rPr>
        <w:t>овск, ул. Победы, д. 4А, офис 39А</w:t>
        <w:tab/>
        <w:tab/>
        <w:tab/>
        <w:tab/>
        <w:tab/>
        <w:tab/>
        <w:tab/>
        <w:tab/>
        <w:tab/>
        <w:tab/>
        <w:t xml:space="preserve">        +7(903)203-30-58</w:t>
        <w:tab/>
      </w:r>
    </w:p>
    <w:sectPr>
      <w:pgSz w:w="16838" w:h="11906" w:orient="landscape"/>
      <w:pgMar w:top="340" w:right="454" w:bottom="340" w:left="56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ahoma">
    <w:panose1 w:val="020b0604030504040204"/>
    <w:charset w:val="cc"/>
    <w:family w:val="swiss"/>
    <w:pitch w:val="variable"/>
    <w:sig w:usb0="00000000" w:usb1="00000000" w:usb2="00000029" w:usb3="00000000" w:csb0="0001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multilevel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multiLevelType w:val="hybridMultilevel"/>
    <w:lvl w:ilvl="0" w:tentative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916"/>
    <w:rsid w:val="00031FF9"/>
    <w:rsid w:val="00060630"/>
    <w:rsid w:val="00072481"/>
    <w:rsid w:val="000837BE"/>
    <w:rsid w:val="000B7234"/>
    <w:rsid w:val="001166D6"/>
    <w:rsid w:val="001673C7"/>
    <w:rsid w:val="0018159A"/>
    <w:rsid w:val="00190A88"/>
    <w:rsid w:val="00192B95"/>
    <w:rsid w:val="001F535D"/>
    <w:rsid w:val="002219CA"/>
    <w:rsid w:val="0023269C"/>
    <w:rsid w:val="002B01AD"/>
    <w:rsid w:val="002B6C2C"/>
    <w:rsid w:val="00377500"/>
    <w:rsid w:val="00394E15"/>
    <w:rsid w:val="003B6489"/>
    <w:rsid w:val="003E54D6"/>
    <w:rsid w:val="00446292"/>
    <w:rsid w:val="00457B61"/>
    <w:rsid w:val="004825B7"/>
    <w:rsid w:val="004C7EE7"/>
    <w:rsid w:val="004D0E9F"/>
    <w:rsid w:val="004D1B1A"/>
    <w:rsid w:val="004D4E87"/>
    <w:rsid w:val="004E1783"/>
    <w:rsid w:val="004F4444"/>
    <w:rsid w:val="004F55DA"/>
    <w:rsid w:val="00527F70"/>
    <w:rsid w:val="005459E8"/>
    <w:rsid w:val="00564133"/>
    <w:rsid w:val="005747C0"/>
    <w:rsid w:val="005F20CA"/>
    <w:rsid w:val="005F4C7A"/>
    <w:rsid w:val="00640615"/>
    <w:rsid w:val="006C3CBA"/>
    <w:rsid w:val="00703A53"/>
    <w:rsid w:val="007378A9"/>
    <w:rsid w:val="00740A49"/>
    <w:rsid w:val="00741D92"/>
    <w:rsid w:val="00783DA5"/>
    <w:rsid w:val="007A77AA"/>
    <w:rsid w:val="007C164F"/>
    <w:rsid w:val="007E1A8D"/>
    <w:rsid w:val="007E2AD7"/>
    <w:rsid w:val="007F1869"/>
    <w:rsid w:val="00805186"/>
    <w:rsid w:val="0085590D"/>
    <w:rsid w:val="00933B70"/>
    <w:rsid w:val="00993950"/>
    <w:rsid w:val="009B631E"/>
    <w:rsid w:val="009B7E00"/>
    <w:rsid w:val="009D4D63"/>
    <w:rsid w:val="009E211D"/>
    <w:rsid w:val="00A36B4F"/>
    <w:rsid w:val="00A94916"/>
    <w:rsid w:val="00AA01C8"/>
    <w:rsid w:val="00AA1449"/>
    <w:rsid w:val="00AC5F2D"/>
    <w:rsid w:val="00AD48A6"/>
    <w:rsid w:val="00B524A0"/>
    <w:rsid w:val="00B97397"/>
    <w:rsid w:val="00C768BA"/>
    <w:rsid w:val="00C76DDB"/>
    <w:rsid w:val="00C80D3C"/>
    <w:rsid w:val="00C821CF"/>
    <w:rsid w:val="00CD26E2"/>
    <w:rsid w:val="00CD5C12"/>
    <w:rsid w:val="00CE5CCC"/>
    <w:rsid w:val="00D16CBE"/>
    <w:rsid w:val="00D542DC"/>
    <w:rsid w:val="00D74B66"/>
    <w:rsid w:val="00D87245"/>
    <w:rsid w:val="00DD5081"/>
    <w:rsid w:val="00E35EBB"/>
    <w:rsid w:val="00E40505"/>
    <w:rsid w:val="00E41ABF"/>
    <w:rsid w:val="00E63906"/>
    <w:rsid w:val="00E7508B"/>
    <w:rsid w:val="00E81CC4"/>
    <w:rsid w:val="00E8443C"/>
    <w:rsid w:val="00F0119C"/>
    <w:rsid w:val="00F064EE"/>
    <w:rsid w:val="00F12C43"/>
    <w:rsid w:val="00F271E6"/>
    <w:rsid w:val="00F445AA"/>
    <w:rsid w:val="00F74BEF"/>
    <w:rsid w:val="00FA0C5A"/>
    <w:rsid w:val="00FA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03C9"/>
  <w15:docId w15:val="{D1516EAF-E80A-42BD-93E2-06266CEEEC3B}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pPr>
      <w:spacing w:after="0" w:line="240" w:lineRule="auto"/>
    </w:pPr>
    <w:rPr>
      <w:rFonts w:ascii="Tahoma" w:cs="Tahoma" w:hAnsi="Tahoma"/>
      <w:sz w:val="16"/>
      <w:szCs w:val="16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Tahoma" w:cs="Tahoma" w:hAnsi="Tahoma"/>
      <w:sz w:val="16"/>
      <w:szCs w:val="16"/>
    </w:r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11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3" Type="http://schemas.openxmlformats.org/officeDocument/2006/relationships/image" Target="media/image1.png"/><Relationship Id="rId14" Type="http://schemas.openxmlformats.org/officeDocument/2006/relationships/image" Target="media/image2.jpe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7" Type="http://schemas.openxmlformats.org/officeDocument/2006/relationships/image" Target="media/image3.png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ВолковЮП</dc:creator>
  <cp:lastModifiedBy>Наталия Путера</cp:lastModifiedBy>
</cp:coreProperties>
</file>